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A28FC" w14:textId="4B265FFF" w:rsidR="007A11CE" w:rsidRPr="0040150B" w:rsidRDefault="007A11CE" w:rsidP="007A11CE">
      <w:pPr>
        <w:spacing w:after="120"/>
        <w:rPr>
          <w:b/>
          <w:bCs/>
          <w:i/>
          <w:iCs/>
          <w:lang w:val="lv-LV"/>
        </w:rPr>
      </w:pPr>
      <w:r w:rsidRPr="0040150B">
        <w:rPr>
          <w:b/>
          <w:bCs/>
          <w:i/>
          <w:iCs/>
          <w:lang w:val="lv-LV"/>
        </w:rPr>
        <w:t>E</w:t>
      </w:r>
      <w:r w:rsidR="00D844F0">
        <w:rPr>
          <w:b/>
          <w:bCs/>
          <w:i/>
          <w:iCs/>
          <w:lang w:val="lv-LV"/>
        </w:rPr>
        <w:t xml:space="preserve">lektrisko un elektronisko iekārtu (EEI) </w:t>
      </w:r>
      <w:r w:rsidRPr="0040150B">
        <w:rPr>
          <w:b/>
          <w:bCs/>
          <w:i/>
          <w:iCs/>
          <w:lang w:val="lv-LV"/>
        </w:rPr>
        <w:t>kategorijas un tiem piešķiramie kodi</w:t>
      </w:r>
      <w:r w:rsidR="008274D5" w:rsidRPr="002C4774">
        <w:rPr>
          <w:rStyle w:val="FootnoteReference"/>
          <w:lang w:val="lv-LV"/>
        </w:rPr>
        <w:footnoteReference w:id="1"/>
      </w:r>
      <w:r w:rsidRPr="002C4774">
        <w:rPr>
          <w:lang w:val="lv-LV"/>
        </w:rPr>
        <w:t xml:space="preserve"> </w:t>
      </w:r>
    </w:p>
    <w:p w14:paraId="33D30BF3" w14:textId="77777777" w:rsidR="007A11CE" w:rsidRDefault="007A11CE" w:rsidP="007A11CE">
      <w:pPr>
        <w:rPr>
          <w:lang w:val="lv-LV"/>
        </w:rPr>
      </w:pPr>
    </w:p>
    <w:tbl>
      <w:tblPr>
        <w:tblStyle w:val="TableGrid"/>
        <w:tblW w:w="13178" w:type="dxa"/>
        <w:tblLook w:val="04A0" w:firstRow="1" w:lastRow="0" w:firstColumn="1" w:lastColumn="0" w:noHBand="0" w:noVBand="1"/>
      </w:tblPr>
      <w:tblGrid>
        <w:gridCol w:w="846"/>
        <w:gridCol w:w="4252"/>
        <w:gridCol w:w="3828"/>
        <w:gridCol w:w="4252"/>
      </w:tblGrid>
      <w:tr w:rsidR="007A11CE" w:rsidRPr="001F13FC" w14:paraId="074A2CDC" w14:textId="77777777" w:rsidTr="009E2D5F">
        <w:tc>
          <w:tcPr>
            <w:tcW w:w="846" w:type="dxa"/>
            <w:shd w:val="clear" w:color="auto" w:fill="FFFFFF" w:themeFill="background1"/>
          </w:tcPr>
          <w:p w14:paraId="427E348B" w14:textId="77777777" w:rsidR="007A11CE" w:rsidRPr="001F13FC" w:rsidRDefault="007A11CE" w:rsidP="003D287C">
            <w:pPr>
              <w:rPr>
                <w:b/>
                <w:bCs/>
                <w:sz w:val="22"/>
                <w:szCs w:val="22"/>
                <w:lang w:val="lv-LV"/>
              </w:rPr>
            </w:pPr>
            <w:r w:rsidRPr="001F13FC">
              <w:rPr>
                <w:b/>
                <w:bCs/>
                <w:sz w:val="22"/>
                <w:szCs w:val="22"/>
                <w:lang w:val="lv-LV"/>
              </w:rPr>
              <w:t>Kate-</w:t>
            </w:r>
          </w:p>
          <w:p w14:paraId="7EB290B8" w14:textId="77777777" w:rsidR="007A11CE" w:rsidRPr="001F13FC" w:rsidRDefault="007A11CE" w:rsidP="003D287C">
            <w:pPr>
              <w:rPr>
                <w:b/>
                <w:bCs/>
                <w:sz w:val="22"/>
                <w:szCs w:val="22"/>
                <w:lang w:val="lv-LV"/>
              </w:rPr>
            </w:pPr>
            <w:proofErr w:type="spellStart"/>
            <w:r w:rsidRPr="001F13FC">
              <w:rPr>
                <w:b/>
                <w:bCs/>
                <w:sz w:val="22"/>
                <w:szCs w:val="22"/>
                <w:lang w:val="lv-LV"/>
              </w:rPr>
              <w:t>gorija</w:t>
            </w:r>
            <w:proofErr w:type="spellEnd"/>
          </w:p>
        </w:tc>
        <w:tc>
          <w:tcPr>
            <w:tcW w:w="4252" w:type="dxa"/>
            <w:shd w:val="clear" w:color="auto" w:fill="FFFFFF" w:themeFill="background1"/>
          </w:tcPr>
          <w:p w14:paraId="2366F1A9" w14:textId="77777777" w:rsidR="007A11CE" w:rsidRPr="001F13FC" w:rsidRDefault="007A11CE" w:rsidP="003D287C">
            <w:pPr>
              <w:rPr>
                <w:b/>
                <w:bCs/>
                <w:sz w:val="22"/>
                <w:szCs w:val="22"/>
                <w:lang w:val="lv-LV"/>
              </w:rPr>
            </w:pPr>
            <w:r w:rsidRPr="001F13FC">
              <w:rPr>
                <w:b/>
                <w:bCs/>
                <w:sz w:val="22"/>
                <w:szCs w:val="22"/>
                <w:lang w:val="lv-LV"/>
              </w:rPr>
              <w:t>Videi kaitīgas preces – elektriskās un elektroniskās iekārtas atbilstoši normatīvajiem aktiem par elektrisko un elektronisko iekārtu kategorijām un marķēšanas prasībām un šo iekārtu atkritumu apsaimniekošanas prasībām un kārtību</w:t>
            </w:r>
          </w:p>
        </w:tc>
        <w:tc>
          <w:tcPr>
            <w:tcW w:w="3828" w:type="dxa"/>
            <w:shd w:val="clear" w:color="auto" w:fill="FFFFFF" w:themeFill="background1"/>
          </w:tcPr>
          <w:p w14:paraId="3F519BF7" w14:textId="76A9623F" w:rsidR="007A11CE" w:rsidRPr="001F13FC" w:rsidRDefault="007A11CE" w:rsidP="003D287C">
            <w:pPr>
              <w:rPr>
                <w:b/>
                <w:bCs/>
                <w:sz w:val="22"/>
                <w:szCs w:val="22"/>
                <w:lang w:val="lv-LV"/>
              </w:rPr>
            </w:pPr>
            <w:r w:rsidRPr="001F13FC">
              <w:rPr>
                <w:b/>
                <w:bCs/>
                <w:sz w:val="22"/>
                <w:szCs w:val="22"/>
                <w:lang w:val="lv-LV"/>
              </w:rPr>
              <w:t xml:space="preserve">Atkritumu klase atbilstoši Ministru kabineta 2011.gada 19.aprīļa noteikumu Nr.302 “Noteikumi par atkritumu klasifikatoru un īpašībām, kuras padara atkritumus bīstamus” pielikumam </w:t>
            </w:r>
          </w:p>
        </w:tc>
        <w:tc>
          <w:tcPr>
            <w:tcW w:w="4252" w:type="dxa"/>
            <w:shd w:val="clear" w:color="auto" w:fill="FFFFFF" w:themeFill="background1"/>
          </w:tcPr>
          <w:p w14:paraId="38D915B8" w14:textId="20831FEA" w:rsidR="007A11CE" w:rsidRPr="001F13FC" w:rsidRDefault="007A11CE" w:rsidP="007A11CE">
            <w:pPr>
              <w:pStyle w:val="tv213"/>
              <w:shd w:val="clear" w:color="auto" w:fill="FFFFFF"/>
              <w:spacing w:before="0" w:beforeAutospacing="0" w:after="120" w:afterAutospacing="0" w:line="293" w:lineRule="atLeast"/>
              <w:jc w:val="both"/>
              <w:rPr>
                <w:b/>
                <w:bCs/>
                <w:sz w:val="22"/>
                <w:szCs w:val="22"/>
              </w:rPr>
            </w:pPr>
            <w:r w:rsidRPr="001F13FC">
              <w:rPr>
                <w:b/>
                <w:bCs/>
                <w:sz w:val="22"/>
                <w:szCs w:val="22"/>
              </w:rPr>
              <w:t>EEI veidi kategorijās, piemēri</w:t>
            </w:r>
            <w:r w:rsidR="008274D5" w:rsidRPr="001F13FC">
              <w:rPr>
                <w:rStyle w:val="FootnoteReference"/>
                <w:b/>
                <w:bCs/>
                <w:sz w:val="22"/>
                <w:szCs w:val="22"/>
              </w:rPr>
              <w:footnoteReference w:id="2"/>
            </w:r>
            <w:r w:rsidRPr="001F13FC">
              <w:rPr>
                <w:b/>
                <w:bCs/>
                <w:sz w:val="22"/>
                <w:szCs w:val="22"/>
              </w:rPr>
              <w:t xml:space="preserve"> </w:t>
            </w:r>
            <w:r w:rsidR="00E2296A">
              <w:rPr>
                <w:rStyle w:val="FootnoteReference"/>
                <w:b/>
                <w:bCs/>
                <w:sz w:val="22"/>
                <w:szCs w:val="22"/>
              </w:rPr>
              <w:footnoteReference w:id="3"/>
            </w:r>
          </w:p>
          <w:p w14:paraId="7B22F627" w14:textId="77777777" w:rsidR="007A11CE" w:rsidRPr="001F13FC" w:rsidRDefault="007A11CE" w:rsidP="003D287C">
            <w:pPr>
              <w:rPr>
                <w:b/>
                <w:bCs/>
                <w:sz w:val="22"/>
                <w:szCs w:val="22"/>
                <w:highlight w:val="lightGray"/>
                <w:lang w:val="lv-LV"/>
              </w:rPr>
            </w:pPr>
          </w:p>
        </w:tc>
      </w:tr>
      <w:tr w:rsidR="007A11CE" w:rsidRPr="002C4774" w14:paraId="124F33E9" w14:textId="77777777" w:rsidTr="007A11CE">
        <w:tc>
          <w:tcPr>
            <w:tcW w:w="846" w:type="dxa"/>
          </w:tcPr>
          <w:p w14:paraId="43A79C9C" w14:textId="77777777" w:rsidR="007A11CE" w:rsidRPr="001F13FC" w:rsidRDefault="007A11CE" w:rsidP="007A11CE">
            <w:pPr>
              <w:rPr>
                <w:sz w:val="22"/>
                <w:szCs w:val="22"/>
                <w:lang w:val="lv-LV"/>
              </w:rPr>
            </w:pPr>
            <w:r w:rsidRPr="001F13FC">
              <w:rPr>
                <w:sz w:val="22"/>
                <w:szCs w:val="22"/>
                <w:lang w:val="lv-LV"/>
              </w:rPr>
              <w:t>1.</w:t>
            </w:r>
          </w:p>
        </w:tc>
        <w:tc>
          <w:tcPr>
            <w:tcW w:w="4252" w:type="dxa"/>
          </w:tcPr>
          <w:p w14:paraId="102FD85A" w14:textId="77777777" w:rsidR="007A11CE" w:rsidRPr="001F13FC" w:rsidRDefault="007A11CE" w:rsidP="007A11CE">
            <w:pPr>
              <w:rPr>
                <w:sz w:val="22"/>
                <w:szCs w:val="22"/>
                <w:lang w:val="lv-LV"/>
              </w:rPr>
            </w:pPr>
            <w:r w:rsidRPr="001F13FC">
              <w:rPr>
                <w:sz w:val="22"/>
                <w:szCs w:val="22"/>
                <w:lang w:val="lv-LV"/>
              </w:rPr>
              <w:t>Temperatūras maiņas iekārtas</w:t>
            </w:r>
          </w:p>
        </w:tc>
        <w:tc>
          <w:tcPr>
            <w:tcW w:w="3828" w:type="dxa"/>
          </w:tcPr>
          <w:p w14:paraId="168BB9B5" w14:textId="77777777" w:rsidR="007A11CE" w:rsidRPr="001F13FC" w:rsidRDefault="007A11CE" w:rsidP="007A11CE">
            <w:pPr>
              <w:pStyle w:val="FootnoteText"/>
              <w:rPr>
                <w:sz w:val="22"/>
                <w:szCs w:val="22"/>
                <w:lang w:val="lv-LV"/>
              </w:rPr>
            </w:pPr>
            <w:r w:rsidRPr="001F13FC">
              <w:rPr>
                <w:b/>
                <w:bCs/>
                <w:sz w:val="22"/>
                <w:szCs w:val="22"/>
                <w:lang w:val="lv-LV"/>
              </w:rPr>
              <w:t>160211*</w:t>
            </w:r>
            <w:r w:rsidRPr="001F13FC">
              <w:rPr>
                <w:sz w:val="22"/>
                <w:szCs w:val="22"/>
                <w:lang w:val="lv-LV"/>
              </w:rPr>
              <w:t xml:space="preserve"> (Nederīgas iekārtas, kuras satur </w:t>
            </w:r>
            <w:proofErr w:type="spellStart"/>
            <w:r w:rsidRPr="001F13FC">
              <w:rPr>
                <w:sz w:val="22"/>
                <w:szCs w:val="22"/>
                <w:lang w:val="lv-LV"/>
              </w:rPr>
              <w:t>hlorfluorūdeņražus</w:t>
            </w:r>
            <w:proofErr w:type="spellEnd"/>
            <w:r w:rsidRPr="001F13FC">
              <w:rPr>
                <w:sz w:val="22"/>
                <w:szCs w:val="22"/>
                <w:lang w:val="lv-LV"/>
              </w:rPr>
              <w:t>, HCFC, HFC);</w:t>
            </w:r>
          </w:p>
          <w:p w14:paraId="09601366" w14:textId="77777777" w:rsidR="007A11CE" w:rsidRPr="001F13FC" w:rsidRDefault="007A11CE" w:rsidP="007A11CE">
            <w:pPr>
              <w:pStyle w:val="FootnoteText"/>
              <w:rPr>
                <w:sz w:val="22"/>
                <w:szCs w:val="22"/>
                <w:lang w:val="lv-LV"/>
              </w:rPr>
            </w:pPr>
            <w:r w:rsidRPr="001F13FC">
              <w:rPr>
                <w:b/>
                <w:bCs/>
                <w:sz w:val="22"/>
                <w:szCs w:val="22"/>
                <w:lang w:val="lv-LV"/>
              </w:rPr>
              <w:t>200123*</w:t>
            </w:r>
            <w:r w:rsidRPr="001F13FC">
              <w:rPr>
                <w:sz w:val="22"/>
                <w:szCs w:val="22"/>
                <w:lang w:val="lv-LV"/>
              </w:rPr>
              <w:t xml:space="preserve"> (</w:t>
            </w:r>
            <w:proofErr w:type="spellStart"/>
            <w:r w:rsidRPr="001F13FC">
              <w:rPr>
                <w:sz w:val="22"/>
                <w:szCs w:val="22"/>
                <w:lang w:val="lv-LV"/>
              </w:rPr>
              <w:t>Hlorfluorūdeņražus</w:t>
            </w:r>
            <w:proofErr w:type="spellEnd"/>
            <w:r w:rsidRPr="001F13FC">
              <w:rPr>
                <w:sz w:val="22"/>
                <w:szCs w:val="22"/>
                <w:lang w:val="lv-LV"/>
              </w:rPr>
              <w:t xml:space="preserve"> saturošas nederīgas iekārtas)</w:t>
            </w:r>
          </w:p>
        </w:tc>
        <w:tc>
          <w:tcPr>
            <w:tcW w:w="4252" w:type="dxa"/>
            <w:tcBorders>
              <w:top w:val="single" w:sz="4" w:space="0" w:color="auto"/>
              <w:left w:val="single" w:sz="4" w:space="0" w:color="auto"/>
              <w:bottom w:val="single" w:sz="4" w:space="0" w:color="auto"/>
              <w:right w:val="single" w:sz="4" w:space="0" w:color="auto"/>
            </w:tcBorders>
          </w:tcPr>
          <w:p w14:paraId="45D4DDD6" w14:textId="77777777" w:rsidR="007A11CE" w:rsidRPr="001F13FC" w:rsidRDefault="007A11CE" w:rsidP="009E2D5F">
            <w:pPr>
              <w:pStyle w:val="tv213"/>
              <w:spacing w:before="0" w:beforeAutospacing="0" w:after="0" w:afterAutospacing="0"/>
              <w:ind w:left="23"/>
              <w:jc w:val="both"/>
              <w:rPr>
                <w:b/>
                <w:bCs/>
                <w:sz w:val="22"/>
                <w:szCs w:val="22"/>
              </w:rPr>
            </w:pPr>
            <w:r w:rsidRPr="001F13FC">
              <w:rPr>
                <w:sz w:val="22"/>
                <w:szCs w:val="22"/>
              </w:rPr>
              <w:t xml:space="preserve">Ledusskapji, saldētavas, iekārtas, kas automātiski dzesē produktus, gaisa kondicionēšanas iekārtas, žāvēšanas iekārtas, siltumsūkņi, eļļas radiatori un citi temperatūras maiņas aprīkojums, kas izmanto citus šķidrumus, nevis ūdeni temperatūras maiņai  </w:t>
            </w:r>
          </w:p>
        </w:tc>
      </w:tr>
      <w:tr w:rsidR="009E2D5F" w:rsidRPr="002C4774" w14:paraId="01FD94AA" w14:textId="77777777" w:rsidTr="005E0BB5">
        <w:tc>
          <w:tcPr>
            <w:tcW w:w="846" w:type="dxa"/>
          </w:tcPr>
          <w:p w14:paraId="03872AF8" w14:textId="77777777" w:rsidR="009E2D5F" w:rsidRPr="001F13FC" w:rsidRDefault="009E2D5F" w:rsidP="009E2D5F">
            <w:pPr>
              <w:rPr>
                <w:sz w:val="22"/>
                <w:szCs w:val="22"/>
                <w:lang w:val="lv-LV"/>
              </w:rPr>
            </w:pPr>
            <w:r w:rsidRPr="001F13FC">
              <w:rPr>
                <w:sz w:val="22"/>
                <w:szCs w:val="22"/>
                <w:lang w:val="lv-LV"/>
              </w:rPr>
              <w:t>2.</w:t>
            </w:r>
          </w:p>
        </w:tc>
        <w:tc>
          <w:tcPr>
            <w:tcW w:w="4252" w:type="dxa"/>
          </w:tcPr>
          <w:p w14:paraId="73881DD8" w14:textId="77777777" w:rsidR="009E2D5F" w:rsidRPr="001F13FC" w:rsidRDefault="009E2D5F" w:rsidP="009E2D5F">
            <w:pPr>
              <w:rPr>
                <w:sz w:val="22"/>
                <w:szCs w:val="22"/>
                <w:lang w:val="lv-LV"/>
              </w:rPr>
            </w:pPr>
            <w:r w:rsidRPr="001F13FC">
              <w:rPr>
                <w:sz w:val="22"/>
                <w:szCs w:val="22"/>
                <w:lang w:val="lv-LV"/>
              </w:rPr>
              <w:t>Ekrāni, monitori un iekārtas ar ekrānu, kura virsmas laukums ir lielāks nekā 100 cm</w:t>
            </w:r>
            <w:r w:rsidRPr="001F13FC">
              <w:rPr>
                <w:sz w:val="22"/>
                <w:szCs w:val="22"/>
                <w:vertAlign w:val="superscript"/>
                <w:lang w:val="lv-LV"/>
              </w:rPr>
              <w:t>2</w:t>
            </w:r>
            <w:r w:rsidRPr="001F13FC">
              <w:rPr>
                <w:sz w:val="22"/>
                <w:szCs w:val="22"/>
                <w:lang w:val="lv-LV"/>
              </w:rPr>
              <w:tab/>
            </w:r>
          </w:p>
        </w:tc>
        <w:tc>
          <w:tcPr>
            <w:tcW w:w="3828" w:type="dxa"/>
          </w:tcPr>
          <w:p w14:paraId="47EDD8AF" w14:textId="77777777" w:rsidR="009E2D5F" w:rsidRPr="001F13FC" w:rsidRDefault="009E2D5F" w:rsidP="009E2D5F">
            <w:pPr>
              <w:rPr>
                <w:sz w:val="22"/>
                <w:szCs w:val="22"/>
                <w:lang w:val="lv-LV"/>
              </w:rPr>
            </w:pPr>
            <w:r w:rsidRPr="001F13FC">
              <w:rPr>
                <w:b/>
                <w:bCs/>
                <w:sz w:val="22"/>
                <w:szCs w:val="22"/>
                <w:lang w:val="lv-LV"/>
              </w:rPr>
              <w:t>200135*</w:t>
            </w:r>
            <w:r w:rsidRPr="001F13FC">
              <w:rPr>
                <w:sz w:val="22"/>
                <w:szCs w:val="22"/>
                <w:lang w:val="lv-LV"/>
              </w:rPr>
              <w:t xml:space="preserve">  (Bīstamus komponentus saturošas nederīgas elektriskās un elektroniskās iekārtas, kuras neatbilst 200121 un 200123 klasei)</w:t>
            </w:r>
          </w:p>
        </w:tc>
        <w:tc>
          <w:tcPr>
            <w:tcW w:w="4252" w:type="dxa"/>
            <w:tcBorders>
              <w:top w:val="single" w:sz="4" w:space="0" w:color="auto"/>
              <w:left w:val="single" w:sz="4" w:space="0" w:color="auto"/>
              <w:bottom w:val="single" w:sz="4" w:space="0" w:color="auto"/>
              <w:right w:val="single" w:sz="4" w:space="0" w:color="auto"/>
            </w:tcBorders>
          </w:tcPr>
          <w:p w14:paraId="0A9E9D1A" w14:textId="77777777" w:rsidR="009E2D5F" w:rsidRPr="001F13FC" w:rsidRDefault="009E2D5F" w:rsidP="009E2D5F">
            <w:pPr>
              <w:pStyle w:val="tv213"/>
              <w:spacing w:before="0" w:beforeAutospacing="0" w:after="0" w:afterAutospacing="0"/>
              <w:ind w:left="22"/>
              <w:jc w:val="both"/>
              <w:rPr>
                <w:b/>
                <w:bCs/>
                <w:sz w:val="22"/>
                <w:szCs w:val="22"/>
              </w:rPr>
            </w:pPr>
            <w:r w:rsidRPr="001F13FC">
              <w:rPr>
                <w:sz w:val="22"/>
                <w:szCs w:val="22"/>
              </w:rPr>
              <w:t xml:space="preserve">Ekrāni, TV, LCD foto rāmji, monitori, klēpja datori, elektroniskās piezīmju grāmatiņas </w:t>
            </w:r>
          </w:p>
        </w:tc>
      </w:tr>
      <w:tr w:rsidR="000B05B2" w:rsidRPr="002C4774" w14:paraId="7B403434" w14:textId="77777777" w:rsidTr="005363F3">
        <w:trPr>
          <w:trHeight w:val="484"/>
        </w:trPr>
        <w:tc>
          <w:tcPr>
            <w:tcW w:w="846" w:type="dxa"/>
            <w:vMerge w:val="restart"/>
          </w:tcPr>
          <w:p w14:paraId="783CE34B" w14:textId="77777777" w:rsidR="000B05B2" w:rsidRPr="001F13FC" w:rsidRDefault="000B05B2" w:rsidP="009E2D5F">
            <w:pPr>
              <w:rPr>
                <w:sz w:val="22"/>
                <w:szCs w:val="22"/>
                <w:lang w:val="lv-LV"/>
              </w:rPr>
            </w:pPr>
            <w:r w:rsidRPr="001F13FC">
              <w:rPr>
                <w:sz w:val="22"/>
                <w:szCs w:val="22"/>
                <w:lang w:val="lv-LV"/>
              </w:rPr>
              <w:t>3.</w:t>
            </w:r>
          </w:p>
        </w:tc>
        <w:tc>
          <w:tcPr>
            <w:tcW w:w="4252" w:type="dxa"/>
          </w:tcPr>
          <w:p w14:paraId="52E8B486" w14:textId="5A9D4603" w:rsidR="000B05B2" w:rsidRPr="001F13FC" w:rsidRDefault="000B05B2" w:rsidP="009E2D5F">
            <w:pPr>
              <w:rPr>
                <w:sz w:val="22"/>
                <w:szCs w:val="22"/>
                <w:lang w:val="lv-LV"/>
              </w:rPr>
            </w:pPr>
            <w:r w:rsidRPr="001F13FC">
              <w:rPr>
                <w:sz w:val="22"/>
                <w:szCs w:val="22"/>
                <w:lang w:val="lv-LV"/>
              </w:rPr>
              <w:t>Spuldzes (izņemot LED)</w:t>
            </w:r>
          </w:p>
          <w:p w14:paraId="107F5060" w14:textId="4A2AF8D0" w:rsidR="000B05B2" w:rsidRPr="001F13FC" w:rsidRDefault="000B05B2" w:rsidP="009E2D5F">
            <w:pPr>
              <w:rPr>
                <w:sz w:val="22"/>
                <w:szCs w:val="22"/>
                <w:lang w:val="lv-LV"/>
              </w:rPr>
            </w:pPr>
          </w:p>
        </w:tc>
        <w:tc>
          <w:tcPr>
            <w:tcW w:w="3828" w:type="dxa"/>
          </w:tcPr>
          <w:p w14:paraId="1E62D807" w14:textId="0DE28F6F" w:rsidR="000B05B2" w:rsidRPr="001F13FC" w:rsidRDefault="000B05B2" w:rsidP="009E2D5F">
            <w:pPr>
              <w:rPr>
                <w:sz w:val="22"/>
                <w:szCs w:val="22"/>
                <w:lang w:val="lv-LV"/>
              </w:rPr>
            </w:pPr>
            <w:r w:rsidRPr="001F13FC">
              <w:rPr>
                <w:b/>
                <w:bCs/>
                <w:sz w:val="22"/>
                <w:szCs w:val="22"/>
                <w:lang w:val="lv-LV"/>
              </w:rPr>
              <w:t>200121*</w:t>
            </w:r>
            <w:r w:rsidRPr="001F13FC">
              <w:rPr>
                <w:sz w:val="22"/>
                <w:szCs w:val="22"/>
                <w:lang w:val="lv-LV"/>
              </w:rPr>
              <w:t xml:space="preserve"> (Luminiscentās spuldzes un citi dzīvsudrabu saturoši atkritumi)</w:t>
            </w:r>
          </w:p>
        </w:tc>
        <w:tc>
          <w:tcPr>
            <w:tcW w:w="4252" w:type="dxa"/>
            <w:vMerge w:val="restart"/>
            <w:tcBorders>
              <w:top w:val="single" w:sz="4" w:space="0" w:color="auto"/>
              <w:left w:val="single" w:sz="4" w:space="0" w:color="auto"/>
              <w:right w:val="single" w:sz="4" w:space="0" w:color="auto"/>
            </w:tcBorders>
          </w:tcPr>
          <w:p w14:paraId="510656E3" w14:textId="523BC631" w:rsidR="000B05B2" w:rsidRPr="001F13FC" w:rsidRDefault="000B05B2" w:rsidP="009E2D5F">
            <w:pPr>
              <w:pStyle w:val="tv213"/>
              <w:ind w:left="22"/>
              <w:jc w:val="both"/>
              <w:rPr>
                <w:b/>
                <w:bCs/>
                <w:sz w:val="22"/>
                <w:szCs w:val="22"/>
              </w:rPr>
            </w:pPr>
            <w:r w:rsidRPr="001F13FC">
              <w:rPr>
                <w:sz w:val="22"/>
                <w:szCs w:val="22"/>
              </w:rPr>
              <w:t>Taisnās un kompaktās luminiscējošās spuldzes, augstas intensitātes gāzizlādes spuldzes - ieskaitot spiediena nātrija lampas un metālu halogenīdu lampas, zema spiediena nātrija lampas</w:t>
            </w:r>
            <w:r w:rsidR="00123D91">
              <w:rPr>
                <w:sz w:val="22"/>
                <w:szCs w:val="22"/>
              </w:rPr>
              <w:t>, LED lampas</w:t>
            </w:r>
          </w:p>
        </w:tc>
      </w:tr>
      <w:tr w:rsidR="000B05B2" w:rsidRPr="002C4774" w14:paraId="53A866B2" w14:textId="77777777" w:rsidTr="005363F3">
        <w:trPr>
          <w:trHeight w:val="484"/>
        </w:trPr>
        <w:tc>
          <w:tcPr>
            <w:tcW w:w="846" w:type="dxa"/>
            <w:vMerge/>
          </w:tcPr>
          <w:p w14:paraId="60249BCB" w14:textId="77777777" w:rsidR="000B05B2" w:rsidRPr="001F13FC" w:rsidRDefault="000B05B2" w:rsidP="009E2D5F">
            <w:pPr>
              <w:rPr>
                <w:sz w:val="22"/>
                <w:szCs w:val="22"/>
                <w:lang w:val="lv-LV"/>
              </w:rPr>
            </w:pPr>
          </w:p>
        </w:tc>
        <w:tc>
          <w:tcPr>
            <w:tcW w:w="4252" w:type="dxa"/>
          </w:tcPr>
          <w:p w14:paraId="6D981934" w14:textId="77777777" w:rsidR="000B05B2" w:rsidRPr="001F13FC" w:rsidRDefault="000B05B2" w:rsidP="000B05B2">
            <w:pPr>
              <w:rPr>
                <w:sz w:val="22"/>
                <w:szCs w:val="22"/>
                <w:lang w:val="lv-LV"/>
              </w:rPr>
            </w:pPr>
          </w:p>
          <w:p w14:paraId="7779B04F" w14:textId="7F0BD154" w:rsidR="000B05B2" w:rsidRPr="001F13FC" w:rsidRDefault="000B05B2" w:rsidP="000B05B2">
            <w:pPr>
              <w:rPr>
                <w:sz w:val="22"/>
                <w:szCs w:val="22"/>
                <w:lang w:val="lv-LV"/>
              </w:rPr>
            </w:pPr>
            <w:r w:rsidRPr="001F13FC">
              <w:rPr>
                <w:sz w:val="22"/>
                <w:szCs w:val="22"/>
                <w:lang w:val="lv-LV"/>
              </w:rPr>
              <w:t>LED spuldzes</w:t>
            </w:r>
          </w:p>
        </w:tc>
        <w:tc>
          <w:tcPr>
            <w:tcW w:w="3828" w:type="dxa"/>
          </w:tcPr>
          <w:p w14:paraId="126DABC8" w14:textId="26FB330F" w:rsidR="000B05B2" w:rsidRPr="001F13FC" w:rsidRDefault="000B05B2" w:rsidP="009E2D5F">
            <w:pPr>
              <w:rPr>
                <w:b/>
                <w:bCs/>
                <w:sz w:val="22"/>
                <w:szCs w:val="22"/>
                <w:lang w:val="lv-LV"/>
              </w:rPr>
            </w:pPr>
            <w:r w:rsidRPr="001F13FC">
              <w:rPr>
                <w:b/>
                <w:bCs/>
                <w:sz w:val="22"/>
                <w:szCs w:val="22"/>
                <w:lang w:val="lv-LV"/>
              </w:rPr>
              <w:t>200136</w:t>
            </w:r>
            <w:r w:rsidRPr="001F13FC">
              <w:rPr>
                <w:sz w:val="22"/>
                <w:szCs w:val="22"/>
                <w:lang w:val="lv-LV"/>
              </w:rPr>
              <w:t xml:space="preserve"> (Citas nederīgas elektriskās un elektroniskās iekārtas, kuras neatbilst 200121, 200123 un 200135 klasei)</w:t>
            </w:r>
          </w:p>
        </w:tc>
        <w:tc>
          <w:tcPr>
            <w:tcW w:w="4252" w:type="dxa"/>
            <w:vMerge/>
            <w:tcBorders>
              <w:left w:val="single" w:sz="4" w:space="0" w:color="auto"/>
              <w:bottom w:val="single" w:sz="4" w:space="0" w:color="auto"/>
              <w:right w:val="single" w:sz="4" w:space="0" w:color="auto"/>
            </w:tcBorders>
          </w:tcPr>
          <w:p w14:paraId="1463CC7C" w14:textId="77777777" w:rsidR="000B05B2" w:rsidRPr="001F13FC" w:rsidRDefault="000B05B2" w:rsidP="009E2D5F">
            <w:pPr>
              <w:pStyle w:val="tv213"/>
              <w:ind w:left="22"/>
              <w:jc w:val="both"/>
              <w:rPr>
                <w:sz w:val="22"/>
                <w:szCs w:val="22"/>
              </w:rPr>
            </w:pPr>
          </w:p>
        </w:tc>
      </w:tr>
      <w:tr w:rsidR="009E2D5F" w:rsidRPr="002C4774" w14:paraId="3DA8C6B6" w14:textId="77777777" w:rsidTr="007A11CE">
        <w:tc>
          <w:tcPr>
            <w:tcW w:w="846" w:type="dxa"/>
          </w:tcPr>
          <w:p w14:paraId="691FA4C0" w14:textId="77777777" w:rsidR="009E2D5F" w:rsidRPr="001F13FC" w:rsidRDefault="009E2D5F" w:rsidP="009E2D5F">
            <w:pPr>
              <w:rPr>
                <w:sz w:val="22"/>
                <w:szCs w:val="22"/>
                <w:lang w:val="lv-LV"/>
              </w:rPr>
            </w:pPr>
            <w:r w:rsidRPr="001F13FC">
              <w:rPr>
                <w:sz w:val="22"/>
                <w:szCs w:val="22"/>
                <w:lang w:val="lv-LV"/>
              </w:rPr>
              <w:t>4.</w:t>
            </w:r>
          </w:p>
        </w:tc>
        <w:tc>
          <w:tcPr>
            <w:tcW w:w="4252" w:type="dxa"/>
          </w:tcPr>
          <w:p w14:paraId="7E004F4F" w14:textId="77777777" w:rsidR="009E2D5F" w:rsidRPr="001F13FC" w:rsidRDefault="009E2D5F" w:rsidP="009E2D5F">
            <w:pPr>
              <w:rPr>
                <w:sz w:val="22"/>
                <w:szCs w:val="22"/>
                <w:lang w:val="lv-LV"/>
              </w:rPr>
            </w:pPr>
            <w:r w:rsidRPr="001F13FC">
              <w:rPr>
                <w:sz w:val="22"/>
                <w:szCs w:val="22"/>
                <w:lang w:val="lv-LV"/>
              </w:rPr>
              <w:t xml:space="preserve">Liela izmēra iekārtas (vismaz viens ārējais izmērs pārsniedz 50 cm), tostarp mājsaimniecības preces; IT un telesakaru iekārtas; patērētāju iekārtas; gaismekļi; skaņu vai attēlu demonstrējošas iekārtas, mūzikas ierīces; elektriski un elektroniski instrumenti; </w:t>
            </w:r>
            <w:r w:rsidRPr="001F13FC">
              <w:rPr>
                <w:sz w:val="22"/>
                <w:szCs w:val="22"/>
                <w:lang w:val="lv-LV"/>
              </w:rPr>
              <w:lastRenderedPageBreak/>
              <w:t>rotaļlietas, izklaides un sporta aprīkojums; medicīnas ierīces; monitoringa un kontroles instrumenti; automātiskie sadalītāji; ierīces elektriskās strāvas ražošanai. Šai kategorijai nepieder iekārtas, kas minētas 1. līdz 3. kategorijā</w:t>
            </w:r>
          </w:p>
        </w:tc>
        <w:tc>
          <w:tcPr>
            <w:tcW w:w="3828" w:type="dxa"/>
          </w:tcPr>
          <w:p w14:paraId="6CEF89AD" w14:textId="77777777" w:rsidR="009E2D5F" w:rsidRPr="001F13FC" w:rsidRDefault="009E2D5F" w:rsidP="009E2D5F">
            <w:pPr>
              <w:pStyle w:val="FootnoteText"/>
              <w:rPr>
                <w:sz w:val="22"/>
                <w:szCs w:val="22"/>
                <w:lang w:val="lv-LV"/>
              </w:rPr>
            </w:pPr>
            <w:r w:rsidRPr="001F13FC">
              <w:rPr>
                <w:b/>
                <w:bCs/>
                <w:sz w:val="22"/>
                <w:szCs w:val="22"/>
                <w:lang w:val="lv-LV"/>
              </w:rPr>
              <w:lastRenderedPageBreak/>
              <w:t>200136</w:t>
            </w:r>
            <w:r w:rsidRPr="001F13FC">
              <w:rPr>
                <w:sz w:val="22"/>
                <w:szCs w:val="22"/>
                <w:lang w:val="lv-LV"/>
              </w:rPr>
              <w:t xml:space="preserve"> (Citas nederīgas elektriskās un elektroniskās iekārtas, kuras neatbilst 200121, 200123 un 200135 klasei); </w:t>
            </w:r>
          </w:p>
          <w:p w14:paraId="3C8194FA" w14:textId="77777777" w:rsidR="009E2D5F" w:rsidRPr="001F13FC" w:rsidRDefault="009E2D5F" w:rsidP="009E2D5F">
            <w:pPr>
              <w:rPr>
                <w:sz w:val="22"/>
                <w:szCs w:val="22"/>
                <w:lang w:val="lv-LV"/>
              </w:rPr>
            </w:pPr>
            <w:r w:rsidRPr="001F13FC">
              <w:rPr>
                <w:b/>
                <w:bCs/>
                <w:sz w:val="22"/>
                <w:szCs w:val="22"/>
                <w:lang w:val="lv-LV"/>
              </w:rPr>
              <w:t xml:space="preserve">160214 </w:t>
            </w:r>
            <w:r w:rsidRPr="001F13FC">
              <w:rPr>
                <w:sz w:val="22"/>
                <w:szCs w:val="22"/>
                <w:lang w:val="lv-LV"/>
              </w:rPr>
              <w:t xml:space="preserve">(Nederīgas iekārtas, kuras neatbilst 160209, 160210, 160211, 160212 un 160213 klasei); </w:t>
            </w:r>
          </w:p>
          <w:p w14:paraId="523D20A6" w14:textId="77777777" w:rsidR="009E2D5F" w:rsidRPr="001F13FC" w:rsidRDefault="009E2D5F" w:rsidP="009E2D5F">
            <w:pPr>
              <w:rPr>
                <w:sz w:val="22"/>
                <w:szCs w:val="22"/>
                <w:lang w:val="lv-LV"/>
              </w:rPr>
            </w:pPr>
            <w:r w:rsidRPr="001F13FC">
              <w:rPr>
                <w:b/>
                <w:bCs/>
                <w:sz w:val="22"/>
                <w:szCs w:val="22"/>
                <w:lang w:val="lv-LV"/>
              </w:rPr>
              <w:lastRenderedPageBreak/>
              <w:t>200135*</w:t>
            </w:r>
            <w:r w:rsidRPr="001F13FC">
              <w:rPr>
                <w:sz w:val="22"/>
                <w:szCs w:val="22"/>
                <w:lang w:val="lv-LV"/>
              </w:rPr>
              <w:t xml:space="preserve"> (Bīstamus komponentus saturošas nederīgas elektriskās un elektroniskās iekārtas, kuras neatbilst 200121 un 200123 klasei); </w:t>
            </w:r>
          </w:p>
          <w:p w14:paraId="0E1A5461" w14:textId="77777777" w:rsidR="009E2D5F" w:rsidRPr="001F13FC" w:rsidRDefault="009E2D5F" w:rsidP="009E2D5F">
            <w:pPr>
              <w:rPr>
                <w:sz w:val="22"/>
                <w:szCs w:val="22"/>
                <w:lang w:val="lv-LV"/>
              </w:rPr>
            </w:pPr>
            <w:r w:rsidRPr="001F13FC">
              <w:rPr>
                <w:b/>
                <w:bCs/>
                <w:sz w:val="22"/>
                <w:szCs w:val="22"/>
                <w:lang w:val="lv-LV"/>
              </w:rPr>
              <w:t>160213</w:t>
            </w:r>
            <w:r w:rsidRPr="001F13FC">
              <w:rPr>
                <w:sz w:val="22"/>
                <w:szCs w:val="22"/>
                <w:lang w:val="lv-LV"/>
              </w:rPr>
              <w:t xml:space="preserve"> (Nederīgas iekārtas, kuras satur citus bīstamus komponentus, nevis 160209, 160210, 160211 un 160212 klasē minētos)</w:t>
            </w:r>
          </w:p>
          <w:p w14:paraId="2323B913" w14:textId="77777777" w:rsidR="009E2D5F" w:rsidRPr="001F13FC" w:rsidRDefault="009E2D5F" w:rsidP="009E2D5F">
            <w:pPr>
              <w:rPr>
                <w:sz w:val="22"/>
                <w:szCs w:val="22"/>
                <w:lang w:val="lv-LV"/>
              </w:rPr>
            </w:pPr>
          </w:p>
        </w:tc>
        <w:tc>
          <w:tcPr>
            <w:tcW w:w="4252" w:type="dxa"/>
          </w:tcPr>
          <w:p w14:paraId="2C7FCB58" w14:textId="77777777" w:rsidR="009E2D5F" w:rsidRPr="001F13FC" w:rsidRDefault="009E2D5F" w:rsidP="00123D91">
            <w:pPr>
              <w:pStyle w:val="FootnoteText"/>
              <w:jc w:val="both"/>
              <w:rPr>
                <w:b/>
                <w:bCs/>
                <w:sz w:val="22"/>
                <w:szCs w:val="22"/>
                <w:lang w:val="lv-LV"/>
              </w:rPr>
            </w:pPr>
            <w:r w:rsidRPr="001F13FC">
              <w:rPr>
                <w:sz w:val="22"/>
                <w:szCs w:val="22"/>
                <w:lang w:val="lv-LV"/>
              </w:rPr>
              <w:lastRenderedPageBreak/>
              <w:t xml:space="preserve">Veļas mašīnas, drēbju žāvētāji, trauku mazgājamās mašīnas, plītis, elektriskās krāsnis, elektriskās karstās virsmas, apgaismes ķermeņi, aprīkojums skaņas vai attēlu radīšanai, mūzikas iekārtas (izņemot baznīcu ērģeles), aušanas un adīšanas iekārtas, </w:t>
            </w:r>
            <w:r w:rsidRPr="001F13FC">
              <w:rPr>
                <w:sz w:val="22"/>
                <w:szCs w:val="22"/>
                <w:lang w:val="lv-LV"/>
              </w:rPr>
              <w:lastRenderedPageBreak/>
              <w:t>lieldatori, lielas iespiedmašīnas, lielizmēra kopētāji, monētu spēļu automāti, lielizmēra medicīnas iekārtas, lielizmēra monitoringa un kontroles iekārtas, lielas automātiskas iekārtas naudas un produktu izsniegšanai,  fotoelementu paneļi</w:t>
            </w:r>
          </w:p>
        </w:tc>
      </w:tr>
      <w:tr w:rsidR="009E2D5F" w:rsidRPr="002C4774" w14:paraId="57899D8A" w14:textId="77777777" w:rsidTr="00D938C4">
        <w:tc>
          <w:tcPr>
            <w:tcW w:w="846" w:type="dxa"/>
          </w:tcPr>
          <w:p w14:paraId="0EDC027F" w14:textId="77777777" w:rsidR="009E2D5F" w:rsidRPr="001F13FC" w:rsidRDefault="009E2D5F" w:rsidP="009E2D5F">
            <w:pPr>
              <w:rPr>
                <w:sz w:val="22"/>
                <w:szCs w:val="22"/>
                <w:lang w:val="lv-LV"/>
              </w:rPr>
            </w:pPr>
            <w:r w:rsidRPr="001F13FC">
              <w:rPr>
                <w:sz w:val="22"/>
                <w:szCs w:val="22"/>
                <w:lang w:val="lv-LV"/>
              </w:rPr>
              <w:lastRenderedPageBreak/>
              <w:t>5.</w:t>
            </w:r>
          </w:p>
        </w:tc>
        <w:tc>
          <w:tcPr>
            <w:tcW w:w="4252" w:type="dxa"/>
          </w:tcPr>
          <w:p w14:paraId="29587577" w14:textId="77777777" w:rsidR="009E2D5F" w:rsidRPr="001F13FC" w:rsidRDefault="009E2D5F" w:rsidP="009E2D5F">
            <w:pPr>
              <w:rPr>
                <w:sz w:val="22"/>
                <w:szCs w:val="22"/>
                <w:lang w:val="lv-LV"/>
              </w:rPr>
            </w:pPr>
            <w:r w:rsidRPr="001F13FC">
              <w:rPr>
                <w:sz w:val="22"/>
                <w:szCs w:val="22"/>
                <w:lang w:val="lv-LV"/>
              </w:rPr>
              <w:t>Maza izmēra iekārtas (neviens ārējais izmērs nepārsniedz 50 cm), tostarp mājsaimniecības preces; patērētāju iekārtas; gaismekļi; skaņu vai attēlu demonstrējošas iekārtas, mūzikas ierīces; elektriski un elektroniski instrumenti; rotaļlietas, izklaides un sporta aprīkojums; medicīnas ierīces; monitoringa un kontroles instrumenti; automātiskie sadalītāji; ierīces elektriskās strāvas ražošanai. Šai kategorijai nepieder iekārtas, kas minētas 1. līdz 3. un 6. kategorijā</w:t>
            </w:r>
          </w:p>
        </w:tc>
        <w:tc>
          <w:tcPr>
            <w:tcW w:w="3828" w:type="dxa"/>
          </w:tcPr>
          <w:p w14:paraId="419F19F7" w14:textId="77777777" w:rsidR="009E2D5F" w:rsidRPr="001F13FC" w:rsidRDefault="009E2D5F" w:rsidP="009E2D5F">
            <w:pPr>
              <w:pStyle w:val="FootnoteText"/>
              <w:rPr>
                <w:sz w:val="22"/>
                <w:szCs w:val="22"/>
                <w:lang w:val="lv-LV"/>
              </w:rPr>
            </w:pPr>
            <w:r w:rsidRPr="001F13FC">
              <w:rPr>
                <w:b/>
                <w:bCs/>
                <w:sz w:val="22"/>
                <w:szCs w:val="22"/>
                <w:lang w:val="lv-LV"/>
              </w:rPr>
              <w:t>200135*</w:t>
            </w:r>
            <w:r w:rsidRPr="001F13FC">
              <w:rPr>
                <w:sz w:val="22"/>
                <w:szCs w:val="22"/>
                <w:lang w:val="lv-LV"/>
              </w:rPr>
              <w:t xml:space="preserve"> (Bīstamus komponentus saturošas nederīgas elektriskās un elektroniskās iekārtas, kuras neatbilst 200121 un 200123 klasei); </w:t>
            </w:r>
          </w:p>
          <w:p w14:paraId="0FB3FA5E" w14:textId="77777777" w:rsidR="009E2D5F" w:rsidRPr="001F13FC" w:rsidRDefault="009E2D5F" w:rsidP="009E2D5F">
            <w:pPr>
              <w:pStyle w:val="FootnoteText"/>
              <w:rPr>
                <w:sz w:val="22"/>
                <w:szCs w:val="22"/>
                <w:lang w:val="lv-LV"/>
              </w:rPr>
            </w:pPr>
            <w:r w:rsidRPr="001F13FC">
              <w:rPr>
                <w:b/>
                <w:bCs/>
                <w:sz w:val="22"/>
                <w:szCs w:val="22"/>
                <w:lang w:val="lv-LV"/>
              </w:rPr>
              <w:t>200136*</w:t>
            </w:r>
            <w:r w:rsidRPr="001F13FC">
              <w:rPr>
                <w:sz w:val="22"/>
                <w:szCs w:val="22"/>
                <w:lang w:val="lv-LV"/>
              </w:rPr>
              <w:t xml:space="preserve"> (Citas nederīgas elektriskās un elektroniskās iekārtas, kuras neatbilst 200121, 200123 un 200135 klasei); </w:t>
            </w:r>
          </w:p>
          <w:p w14:paraId="06988F44" w14:textId="77777777" w:rsidR="009E2D5F" w:rsidRPr="001F13FC" w:rsidRDefault="009E2D5F" w:rsidP="009E2D5F">
            <w:pPr>
              <w:rPr>
                <w:sz w:val="22"/>
                <w:szCs w:val="22"/>
                <w:lang w:val="lv-LV"/>
              </w:rPr>
            </w:pPr>
          </w:p>
        </w:tc>
        <w:tc>
          <w:tcPr>
            <w:tcW w:w="4252" w:type="dxa"/>
            <w:tcBorders>
              <w:top w:val="single" w:sz="4" w:space="0" w:color="auto"/>
              <w:left w:val="single" w:sz="4" w:space="0" w:color="auto"/>
              <w:bottom w:val="single" w:sz="4" w:space="0" w:color="auto"/>
              <w:right w:val="single" w:sz="4" w:space="0" w:color="auto"/>
            </w:tcBorders>
          </w:tcPr>
          <w:p w14:paraId="25BCD023" w14:textId="1AFC42D9" w:rsidR="009E2D5F" w:rsidRPr="001F13FC" w:rsidRDefault="009E2D5F" w:rsidP="001F13FC">
            <w:pPr>
              <w:pStyle w:val="tv213"/>
              <w:spacing w:after="0" w:afterAutospacing="0"/>
              <w:jc w:val="both"/>
              <w:rPr>
                <w:b/>
                <w:bCs/>
                <w:sz w:val="22"/>
                <w:szCs w:val="22"/>
              </w:rPr>
            </w:pPr>
            <w:r w:rsidRPr="001F13FC">
              <w:rPr>
                <w:sz w:val="22"/>
                <w:szCs w:val="22"/>
              </w:rPr>
              <w:t xml:space="preserve">Putekļsūcēji, šujmašīnas, grīdsegu tīrītāji, gaismekļi, mikroviļņu krāsnis, ventilēšanas iekārtas, gludekļi, tosteri, elektriskie naži, elektriskie katli, pulksteņi, elektriskie skujamie, svari, iekārtas matu un ķermeņa kopšanai, kalkulatori, video iekārtas, radio atskaņotāji, video ierakstītāji, </w:t>
            </w:r>
            <w:proofErr w:type="spellStart"/>
            <w:r w:rsidRPr="001F13FC">
              <w:rPr>
                <w:sz w:val="22"/>
                <w:szCs w:val="22"/>
              </w:rPr>
              <w:t>Hi-Fi</w:t>
            </w:r>
            <w:proofErr w:type="spellEnd"/>
            <w:r w:rsidRPr="001F13FC">
              <w:rPr>
                <w:sz w:val="22"/>
                <w:szCs w:val="22"/>
              </w:rPr>
              <w:t xml:space="preserve"> aprīkojums, mūzikas instrumenti, aprīkojums skaņas vai attēlu radīšanai, elektriskās un elektroniskās rotaļlietas, sporta aprīkojums, dažādu sporta veidu datori, dūmu detektori, siltuma regulatori, termostati, mazi elektriskie un elektroniskie instrumenti, mazas monitoringa un kontroles iekārtas, maza izmēra iekārtas produktu gatavošanai, maza izmēra aprīkojums ar integrētiem fotoelementu paneļiem </w:t>
            </w:r>
          </w:p>
        </w:tc>
      </w:tr>
      <w:tr w:rsidR="009E2D5F" w:rsidRPr="002C4774" w14:paraId="6FDBA172" w14:textId="77777777" w:rsidTr="004D7489">
        <w:tc>
          <w:tcPr>
            <w:tcW w:w="846" w:type="dxa"/>
          </w:tcPr>
          <w:p w14:paraId="556D9445" w14:textId="77777777" w:rsidR="009E2D5F" w:rsidRPr="001F13FC" w:rsidRDefault="009E2D5F" w:rsidP="009E2D5F">
            <w:pPr>
              <w:rPr>
                <w:sz w:val="22"/>
                <w:szCs w:val="22"/>
                <w:lang w:val="lv-LV"/>
              </w:rPr>
            </w:pPr>
            <w:r w:rsidRPr="001F13FC">
              <w:rPr>
                <w:sz w:val="22"/>
                <w:szCs w:val="22"/>
                <w:lang w:val="lv-LV"/>
              </w:rPr>
              <w:t>6.</w:t>
            </w:r>
          </w:p>
        </w:tc>
        <w:tc>
          <w:tcPr>
            <w:tcW w:w="4252" w:type="dxa"/>
          </w:tcPr>
          <w:p w14:paraId="67DDEC70" w14:textId="77777777" w:rsidR="009E2D5F" w:rsidRPr="001F13FC" w:rsidRDefault="009E2D5F" w:rsidP="009E2D5F">
            <w:pPr>
              <w:rPr>
                <w:sz w:val="22"/>
                <w:szCs w:val="22"/>
                <w:lang w:val="lv-LV"/>
              </w:rPr>
            </w:pPr>
            <w:r w:rsidRPr="001F13FC">
              <w:rPr>
                <w:sz w:val="22"/>
                <w:szCs w:val="22"/>
                <w:lang w:val="lv-LV"/>
              </w:rPr>
              <w:t>Mazas IT un telekomunikāciju iekārtas (neviens ārējais izmērs nepārsniedz 50 cm)</w:t>
            </w:r>
          </w:p>
        </w:tc>
        <w:tc>
          <w:tcPr>
            <w:tcW w:w="3828" w:type="dxa"/>
          </w:tcPr>
          <w:p w14:paraId="47C46891" w14:textId="77777777" w:rsidR="009E2D5F" w:rsidRPr="001F13FC" w:rsidRDefault="009E2D5F" w:rsidP="009E2D5F">
            <w:pPr>
              <w:rPr>
                <w:sz w:val="22"/>
                <w:szCs w:val="22"/>
                <w:lang w:val="lv-LV"/>
              </w:rPr>
            </w:pPr>
            <w:r w:rsidRPr="001F13FC">
              <w:rPr>
                <w:b/>
                <w:bCs/>
                <w:sz w:val="22"/>
                <w:szCs w:val="22"/>
                <w:lang w:val="lv-LV"/>
              </w:rPr>
              <w:t>200135*</w:t>
            </w:r>
            <w:r w:rsidRPr="001F13FC">
              <w:rPr>
                <w:sz w:val="22"/>
                <w:szCs w:val="22"/>
                <w:lang w:val="lv-LV"/>
              </w:rPr>
              <w:t xml:space="preserve"> (Bīstamus komponentus saturošas nederīgas elektriskās un elektroniskās iekārtas, kuras neatbilst 200121 un 200123 klasei); </w:t>
            </w:r>
          </w:p>
          <w:p w14:paraId="54EC6162" w14:textId="77777777" w:rsidR="009E2D5F" w:rsidRPr="001F13FC" w:rsidRDefault="009E2D5F" w:rsidP="009E2D5F">
            <w:pPr>
              <w:rPr>
                <w:sz w:val="22"/>
                <w:szCs w:val="22"/>
                <w:lang w:val="lv-LV"/>
              </w:rPr>
            </w:pPr>
            <w:r w:rsidRPr="001F13FC">
              <w:rPr>
                <w:b/>
                <w:bCs/>
                <w:sz w:val="22"/>
                <w:szCs w:val="22"/>
                <w:lang w:val="lv-LV"/>
              </w:rPr>
              <w:t>200136</w:t>
            </w:r>
            <w:r w:rsidRPr="001F13FC">
              <w:rPr>
                <w:sz w:val="22"/>
                <w:szCs w:val="22"/>
                <w:lang w:val="lv-LV"/>
              </w:rPr>
              <w:t xml:space="preserve"> (Citas nederīgas elektriskās un elektroniskās iekārtas, kuras neatbilst 200121, 200123 un 200135 klasei); </w:t>
            </w:r>
          </w:p>
          <w:p w14:paraId="0B60DD39" w14:textId="77777777" w:rsidR="009E2D5F" w:rsidRPr="001F13FC" w:rsidRDefault="009E2D5F" w:rsidP="009E2D5F">
            <w:pPr>
              <w:rPr>
                <w:sz w:val="22"/>
                <w:szCs w:val="22"/>
                <w:lang w:val="lv-LV"/>
              </w:rPr>
            </w:pPr>
            <w:r w:rsidRPr="001F13FC">
              <w:rPr>
                <w:b/>
                <w:bCs/>
                <w:sz w:val="22"/>
                <w:szCs w:val="22"/>
                <w:lang w:val="lv-LV"/>
              </w:rPr>
              <w:t>160213*</w:t>
            </w:r>
            <w:r w:rsidRPr="001F13FC">
              <w:rPr>
                <w:sz w:val="22"/>
                <w:szCs w:val="22"/>
                <w:lang w:val="lv-LV"/>
              </w:rPr>
              <w:t xml:space="preserve"> (Nederīgas iekārtas, kuras satur citus bīstamus komponentus, nevis 160209, 160210, 160211 un 160212 klasē minētos); </w:t>
            </w:r>
          </w:p>
          <w:p w14:paraId="1E138769" w14:textId="77777777" w:rsidR="009E2D5F" w:rsidRPr="001F13FC" w:rsidRDefault="009E2D5F" w:rsidP="009E2D5F">
            <w:pPr>
              <w:rPr>
                <w:sz w:val="22"/>
                <w:szCs w:val="22"/>
                <w:lang w:val="lv-LV"/>
              </w:rPr>
            </w:pPr>
            <w:r w:rsidRPr="001F13FC">
              <w:rPr>
                <w:b/>
                <w:bCs/>
                <w:sz w:val="22"/>
                <w:szCs w:val="22"/>
                <w:lang w:val="lv-LV"/>
              </w:rPr>
              <w:t>160214</w:t>
            </w:r>
            <w:r w:rsidRPr="001F13FC">
              <w:rPr>
                <w:sz w:val="22"/>
                <w:szCs w:val="22"/>
                <w:lang w:val="lv-LV"/>
              </w:rPr>
              <w:t xml:space="preserve"> (Nederīgas iekārtas, kuras neatbilst 160209, 160210, 160211, 160212 un 160213 klasei)</w:t>
            </w:r>
          </w:p>
        </w:tc>
        <w:tc>
          <w:tcPr>
            <w:tcW w:w="4252" w:type="dxa"/>
            <w:tcBorders>
              <w:top w:val="single" w:sz="4" w:space="0" w:color="auto"/>
              <w:left w:val="single" w:sz="4" w:space="0" w:color="auto"/>
              <w:bottom w:val="single" w:sz="4" w:space="0" w:color="auto"/>
              <w:right w:val="single" w:sz="4" w:space="0" w:color="auto"/>
            </w:tcBorders>
          </w:tcPr>
          <w:p w14:paraId="6E3E875B" w14:textId="77777777" w:rsidR="009E2D5F" w:rsidRPr="001F13FC" w:rsidRDefault="009E2D5F" w:rsidP="009E2D5F">
            <w:pPr>
              <w:pStyle w:val="tv213"/>
              <w:spacing w:after="0" w:afterAutospacing="0"/>
              <w:jc w:val="both"/>
              <w:rPr>
                <w:b/>
                <w:bCs/>
                <w:sz w:val="22"/>
                <w:szCs w:val="22"/>
              </w:rPr>
            </w:pPr>
            <w:r w:rsidRPr="001F13FC">
              <w:rPr>
                <w:sz w:val="22"/>
                <w:szCs w:val="22"/>
              </w:rPr>
              <w:t xml:space="preserve">Mobilie telefoni, GPS noteicēji, kabatas kalkulatori, rūteri, personālie datori, printeri, telefoni </w:t>
            </w:r>
          </w:p>
        </w:tc>
      </w:tr>
    </w:tbl>
    <w:p w14:paraId="53987639" w14:textId="77777777" w:rsidR="001F13FC" w:rsidRDefault="001F13FC" w:rsidP="009E2D5F">
      <w:pPr>
        <w:spacing w:after="120"/>
        <w:rPr>
          <w:rFonts w:eastAsia="Times New Roman"/>
          <w:b/>
          <w:bCs/>
          <w:lang w:val="lv-LV" w:eastAsia="lv-LV"/>
        </w:rPr>
      </w:pPr>
    </w:p>
    <w:p w14:paraId="57CD8820" w14:textId="09150750" w:rsidR="009E2D5F" w:rsidRPr="00A64E27" w:rsidRDefault="009E2D5F" w:rsidP="009E2D5F">
      <w:pPr>
        <w:spacing w:after="120"/>
        <w:rPr>
          <w:rFonts w:eastAsia="Times New Roman"/>
          <w:b/>
          <w:bCs/>
          <w:lang w:val="lv-LV" w:eastAsia="lv-LV"/>
        </w:rPr>
      </w:pPr>
      <w:r w:rsidRPr="00A64E27">
        <w:rPr>
          <w:rFonts w:eastAsia="Times New Roman"/>
          <w:b/>
          <w:bCs/>
          <w:lang w:val="lv-LV" w:eastAsia="lv-LV"/>
        </w:rPr>
        <w:t>Normatīvo</w:t>
      </w:r>
      <w:r w:rsidR="002C4774">
        <w:rPr>
          <w:rFonts w:eastAsia="Times New Roman"/>
          <w:b/>
          <w:bCs/>
          <w:lang w:val="lv-LV" w:eastAsia="lv-LV"/>
        </w:rPr>
        <w:t xml:space="preserve"> aktu</w:t>
      </w:r>
      <w:bookmarkStart w:id="0" w:name="_GoBack"/>
      <w:bookmarkEnd w:id="0"/>
      <w:r w:rsidRPr="00A64E27">
        <w:rPr>
          <w:rFonts w:eastAsia="Times New Roman"/>
          <w:b/>
          <w:bCs/>
          <w:lang w:val="lv-LV" w:eastAsia="lv-LV"/>
        </w:rPr>
        <w:t xml:space="preserve"> </w:t>
      </w:r>
      <w:r>
        <w:rPr>
          <w:rFonts w:eastAsia="Times New Roman"/>
          <w:b/>
          <w:bCs/>
          <w:lang w:val="lv-LV" w:eastAsia="lv-LV"/>
        </w:rPr>
        <w:t>regulējums</w:t>
      </w:r>
      <w:r w:rsidRPr="00A64E27">
        <w:rPr>
          <w:rFonts w:eastAsia="Times New Roman"/>
          <w:b/>
          <w:bCs/>
          <w:lang w:val="lv-LV" w:eastAsia="lv-LV"/>
        </w:rPr>
        <w:t>:</w:t>
      </w:r>
    </w:p>
    <w:p w14:paraId="02EC1B41" w14:textId="77777777" w:rsidR="009E2D5F" w:rsidRPr="00074E5B" w:rsidRDefault="009E2D5F" w:rsidP="009E2D5F">
      <w:pPr>
        <w:shd w:val="clear" w:color="auto" w:fill="FFFFFF"/>
        <w:spacing w:after="120" w:line="240" w:lineRule="auto"/>
        <w:rPr>
          <w:rFonts w:eastAsia="Times New Roman"/>
          <w:b/>
          <w:bCs/>
          <w:lang w:val="lv-LV" w:eastAsia="lv-LV"/>
        </w:rPr>
      </w:pPr>
      <w:r>
        <w:rPr>
          <w:rFonts w:eastAsia="Times New Roman"/>
          <w:b/>
          <w:bCs/>
          <w:i/>
          <w:iCs/>
          <w:lang w:val="lv-LV" w:eastAsia="lv-LV"/>
        </w:rPr>
        <w:t>Š</w:t>
      </w:r>
      <w:r w:rsidRPr="00B54774">
        <w:rPr>
          <w:rFonts w:eastAsia="Times New Roman"/>
          <w:b/>
          <w:bCs/>
          <w:i/>
          <w:iCs/>
          <w:lang w:val="lv-LV" w:eastAsia="lv-LV"/>
        </w:rPr>
        <w:t>ķiroto atkritumu savākšanas laukums</w:t>
      </w:r>
      <w:r w:rsidRPr="00C107CE">
        <w:rPr>
          <w:rFonts w:eastAsia="Times New Roman"/>
          <w:b/>
          <w:bCs/>
          <w:i/>
          <w:iCs/>
          <w:lang w:val="lv-LV" w:eastAsia="lv-LV"/>
        </w:rPr>
        <w:t xml:space="preserve"> </w:t>
      </w:r>
    </w:p>
    <w:p w14:paraId="36DE481B" w14:textId="77777777" w:rsidR="009E2D5F" w:rsidRPr="007043D0" w:rsidRDefault="00D844F0" w:rsidP="009E2D5F">
      <w:pPr>
        <w:pStyle w:val="ListParagraph"/>
        <w:numPr>
          <w:ilvl w:val="0"/>
          <w:numId w:val="1"/>
        </w:numPr>
        <w:shd w:val="clear" w:color="auto" w:fill="FFFFFF"/>
        <w:spacing w:line="240" w:lineRule="auto"/>
        <w:jc w:val="both"/>
        <w:rPr>
          <w:rFonts w:eastAsia="Times New Roman"/>
          <w:b/>
          <w:bCs/>
          <w:i/>
          <w:iCs/>
          <w:lang w:val="lv-LV" w:eastAsia="lv-LV"/>
        </w:rPr>
      </w:pPr>
      <w:r w:rsidRPr="00D844F0">
        <w:rPr>
          <w:rFonts w:eastAsia="Times New Roman"/>
          <w:lang w:val="lv-LV" w:eastAsia="lv-LV"/>
        </w:rPr>
        <w:t xml:space="preserve">Ministru kabineta 2009.gada 3.novembra noteikumu Nr.1294 “Kārtība, kādā atbrīvo no dabas resursu nodokļa samaksas par videi kaitīgām precēm” (turpmāk – MK noteikumi Nr.1294) </w:t>
      </w:r>
      <w:r w:rsidR="009E2D5F" w:rsidRPr="00074E5B">
        <w:rPr>
          <w:rFonts w:eastAsia="Times New Roman"/>
          <w:lang w:val="lv-LV" w:eastAsia="lv-LV"/>
        </w:rPr>
        <w:t xml:space="preserve">  2.2. punktā noteikts: Apsaimniekotājs atkritumu</w:t>
      </w:r>
      <w:r w:rsidR="009E2D5F" w:rsidRPr="00C107CE">
        <w:rPr>
          <w:rFonts w:eastAsia="Times New Roman"/>
          <w:lang w:val="lv-LV" w:eastAsia="lv-LV"/>
        </w:rPr>
        <w:t xml:space="preserve"> apsaimniekošanas sistēmas ietvaros nodrošina:  mājsaimniecībās radīto apsaimniekotāja pārziņā esošo </w:t>
      </w:r>
      <w:r w:rsidR="009E2D5F" w:rsidRPr="00061C4B">
        <w:rPr>
          <w:rFonts w:eastAsia="Times New Roman"/>
          <w:b/>
          <w:bCs/>
          <w:lang w:val="lv-LV" w:eastAsia="lv-LV"/>
        </w:rPr>
        <w:t>visu veidu videi kaitīgu preču atkritumu pieņemšanu vai savākšanu visos sadzīves atkritumu apsaimniekošanas reģionos ne mazāk kā trijās videi kaitīgu preču savākšanas vietās</w:t>
      </w:r>
      <w:r w:rsidR="009E2D5F" w:rsidRPr="00C107CE">
        <w:rPr>
          <w:rFonts w:eastAsia="Times New Roman"/>
          <w:lang w:val="lv-LV" w:eastAsia="lv-LV"/>
        </w:rPr>
        <w:t xml:space="preserve"> atbilstoši normatīvajiem aktiem par atkritumu savākšanas un šķirošanas </w:t>
      </w:r>
      <w:r w:rsidR="009E2D5F" w:rsidRPr="00061C4B">
        <w:rPr>
          <w:rFonts w:eastAsia="Times New Roman"/>
          <w:b/>
          <w:bCs/>
          <w:lang w:val="lv-LV" w:eastAsia="lv-LV"/>
        </w:rPr>
        <w:t>vietām katrā sadzīves atkritumu apsaimniekošanas reģionā.</w:t>
      </w:r>
      <w:r w:rsidR="009E2D5F" w:rsidRPr="00C107CE">
        <w:rPr>
          <w:rFonts w:eastAsia="Times New Roman"/>
          <w:lang w:val="lv-LV" w:eastAsia="lv-LV"/>
        </w:rPr>
        <w:t xml:space="preserve"> Apsaimniekotājs nodrošina, ka katra atkritumu savākšanas un šķirošanas vieta atrodas citā attiecīgā reģiona pilsētā vai ciemā</w:t>
      </w:r>
      <w:r w:rsidR="009E2D5F">
        <w:rPr>
          <w:rFonts w:eastAsia="Times New Roman"/>
          <w:lang w:val="lv-LV" w:eastAsia="lv-LV"/>
        </w:rPr>
        <w:t xml:space="preserve">. </w:t>
      </w:r>
      <w:r w:rsidR="009E2D5F" w:rsidRPr="007043D0">
        <w:rPr>
          <w:rFonts w:eastAsia="Times New Roman"/>
          <w:b/>
          <w:bCs/>
          <w:i/>
          <w:iCs/>
          <w:lang w:val="lv-LV" w:eastAsia="lv-LV"/>
        </w:rPr>
        <w:t xml:space="preserve">Tādējādi tiek paredzēta arī EEI atkritumu savākšana vismaz 30 savākšanas laukumos. </w:t>
      </w:r>
    </w:p>
    <w:p w14:paraId="08811632" w14:textId="77777777" w:rsidR="009E2D5F" w:rsidRPr="00B54774" w:rsidRDefault="009E2D5F" w:rsidP="009E2D5F">
      <w:pPr>
        <w:pStyle w:val="ListParagraph"/>
        <w:numPr>
          <w:ilvl w:val="0"/>
          <w:numId w:val="1"/>
        </w:numPr>
        <w:shd w:val="clear" w:color="auto" w:fill="FFFFFF"/>
        <w:spacing w:line="240" w:lineRule="auto"/>
        <w:jc w:val="both"/>
        <w:rPr>
          <w:rFonts w:eastAsia="Times New Roman"/>
          <w:lang w:val="lv-LV" w:eastAsia="lv-LV"/>
        </w:rPr>
      </w:pPr>
      <w:r w:rsidRPr="00A64E27">
        <w:rPr>
          <w:rFonts w:eastAsia="Times New Roman"/>
          <w:lang w:val="lv-LV" w:eastAsia="lv-LV"/>
        </w:rPr>
        <w:t xml:space="preserve">Ministru kabineta 2016. gada 13. decembra noteikumi Nr. 788 “Noteikumi par atkritumu savākšanas un šķirošanas vietām” (turpmāk – MK </w:t>
      </w:r>
      <w:r>
        <w:rPr>
          <w:rFonts w:eastAsia="Times New Roman"/>
          <w:lang w:val="lv-LV" w:eastAsia="lv-LV"/>
        </w:rPr>
        <w:t xml:space="preserve">noteikumi </w:t>
      </w:r>
      <w:r w:rsidRPr="00A64E27">
        <w:rPr>
          <w:rFonts w:eastAsia="Times New Roman"/>
          <w:lang w:val="lv-LV" w:eastAsia="lv-LV"/>
        </w:rPr>
        <w:t xml:space="preserve">Nr.788) nosaka </w:t>
      </w:r>
      <w:r w:rsidRPr="00061C4B">
        <w:rPr>
          <w:rFonts w:eastAsia="Times New Roman"/>
          <w:b/>
          <w:bCs/>
          <w:lang w:val="lv-LV" w:eastAsia="lv-LV"/>
        </w:rPr>
        <w:t>atkritumu savākšanas laukumiem 3 darbības saistībā ar dalīti vāktajiem atkritumiem, arī EEI: pieņemšanu (ar reģistrāciju), uzglabāšanu un izvešanu (ar reģistrāciju)</w:t>
      </w:r>
      <w:r>
        <w:rPr>
          <w:rFonts w:eastAsia="Times New Roman"/>
          <w:b/>
          <w:bCs/>
          <w:lang w:val="lv-LV" w:eastAsia="lv-LV"/>
        </w:rPr>
        <w:t xml:space="preserve">: </w:t>
      </w:r>
    </w:p>
    <w:p w14:paraId="5B3D333C" w14:textId="77777777" w:rsidR="009E2D5F" w:rsidRDefault="009E2D5F" w:rsidP="009E2D5F">
      <w:pPr>
        <w:pStyle w:val="ListParagraph"/>
        <w:numPr>
          <w:ilvl w:val="1"/>
          <w:numId w:val="1"/>
        </w:numPr>
        <w:shd w:val="clear" w:color="auto" w:fill="FFFFFF"/>
        <w:spacing w:line="240" w:lineRule="auto"/>
        <w:jc w:val="both"/>
        <w:rPr>
          <w:rFonts w:eastAsia="Times New Roman"/>
          <w:lang w:val="lv-LV" w:eastAsia="lv-LV"/>
        </w:rPr>
      </w:pPr>
      <w:r w:rsidRPr="00B54774">
        <w:rPr>
          <w:rFonts w:eastAsia="Times New Roman"/>
          <w:lang w:val="lv-LV" w:eastAsia="lv-LV"/>
        </w:rPr>
        <w:t xml:space="preserve">5.punkts: Savākšanas laukums ir speciāli aprīkota iežogota vieta, </w:t>
      </w:r>
      <w:r w:rsidRPr="00B54774">
        <w:rPr>
          <w:rFonts w:eastAsia="Times New Roman"/>
          <w:b/>
          <w:bCs/>
          <w:lang w:val="lv-LV" w:eastAsia="lv-LV"/>
        </w:rPr>
        <w:t>kur savāc un īslaicīgi uzglabā</w:t>
      </w:r>
      <w:r w:rsidRPr="00B54774">
        <w:rPr>
          <w:rFonts w:eastAsia="Times New Roman"/>
          <w:lang w:val="lv-LV" w:eastAsia="lv-LV"/>
        </w:rPr>
        <w:t xml:space="preserve"> dažādu veidu atkritumus pirms to turpmākās transportēšanas</w:t>
      </w:r>
      <w:r>
        <w:rPr>
          <w:rFonts w:eastAsia="Times New Roman"/>
          <w:lang w:val="lv-LV" w:eastAsia="lv-LV"/>
        </w:rPr>
        <w:t>;</w:t>
      </w:r>
    </w:p>
    <w:p w14:paraId="55E3720B" w14:textId="77777777" w:rsidR="009E2D5F" w:rsidRPr="00A64E27" w:rsidRDefault="009E2D5F" w:rsidP="009E2D5F">
      <w:pPr>
        <w:pStyle w:val="ListParagraph"/>
        <w:numPr>
          <w:ilvl w:val="1"/>
          <w:numId w:val="1"/>
        </w:numPr>
        <w:shd w:val="clear" w:color="auto" w:fill="FFFFFF"/>
        <w:spacing w:line="240" w:lineRule="auto"/>
        <w:jc w:val="both"/>
        <w:rPr>
          <w:rFonts w:eastAsia="Times New Roman"/>
          <w:lang w:val="lv-LV" w:eastAsia="lv-LV"/>
        </w:rPr>
      </w:pPr>
      <w:r>
        <w:rPr>
          <w:rFonts w:eastAsia="Times New Roman"/>
          <w:lang w:val="lv-LV" w:eastAsia="lv-LV"/>
        </w:rPr>
        <w:t xml:space="preserve">15. </w:t>
      </w:r>
      <w:r w:rsidRPr="00A64E27">
        <w:rPr>
          <w:rFonts w:eastAsia="Times New Roman"/>
          <w:lang w:val="lv-LV" w:eastAsia="lv-LV"/>
        </w:rPr>
        <w:t xml:space="preserve"> </w:t>
      </w:r>
      <w:r w:rsidRPr="00B54774">
        <w:rPr>
          <w:rFonts w:eastAsia="Times New Roman"/>
          <w:lang w:val="lv-LV" w:eastAsia="lv-LV"/>
        </w:rPr>
        <w:t xml:space="preserve">Savākšanas laukuma apsaimniekotājs </w:t>
      </w:r>
      <w:r w:rsidRPr="00B54774">
        <w:rPr>
          <w:rFonts w:eastAsia="Times New Roman"/>
          <w:b/>
          <w:bCs/>
          <w:lang w:val="lv-LV" w:eastAsia="lv-LV"/>
        </w:rPr>
        <w:t>nodrošina savākšanas laukumā ievesto un izvesto atkritumu veidu un masas novērtēšanu un reģistrāciju</w:t>
      </w:r>
      <w:r w:rsidRPr="00B54774">
        <w:rPr>
          <w:rFonts w:eastAsia="Times New Roman"/>
          <w:lang w:val="lv-LV" w:eastAsia="lv-LV"/>
        </w:rPr>
        <w:t>. Savākšanas laukumā ievesto atkritumu veidus nosaka atbilstoši normatīvajiem aktiem par atkritumu klasifikatoru un īpašībām, kuras padara atkritumus bīstamus.</w:t>
      </w:r>
    </w:p>
    <w:p w14:paraId="119AE365" w14:textId="77777777" w:rsidR="009E2D5F" w:rsidRPr="00EB3815" w:rsidRDefault="009E2D5F" w:rsidP="009E2D5F">
      <w:pPr>
        <w:pStyle w:val="ListParagraph"/>
        <w:numPr>
          <w:ilvl w:val="0"/>
          <w:numId w:val="1"/>
        </w:numPr>
        <w:shd w:val="clear" w:color="auto" w:fill="FFFFFF"/>
        <w:spacing w:line="240" w:lineRule="auto"/>
        <w:jc w:val="both"/>
        <w:rPr>
          <w:lang w:val="lv-LV"/>
        </w:rPr>
      </w:pPr>
      <w:r w:rsidRPr="00C107CE">
        <w:rPr>
          <w:rFonts w:eastAsia="Times New Roman"/>
          <w:lang w:val="lv-LV" w:eastAsia="lv-LV"/>
        </w:rPr>
        <w:t xml:space="preserve">Tā kā EEI pieņemšana notiek no iedzīvotājiem, kas nodod sadzīvē nolietotu EEI kā dalīti vāktus vai šķirotus atkritumus, laukuma operators atkarībā no to bīstamības, EEI  MK noteikumu Nr.788 pielikumā izveidotajā “Ar atkritumiem veikto darbību reģistrācijas žurnālā” </w:t>
      </w:r>
      <w:r w:rsidRPr="00061C4B">
        <w:rPr>
          <w:rFonts w:eastAsia="Times New Roman"/>
          <w:b/>
          <w:bCs/>
          <w:lang w:val="lv-LV" w:eastAsia="lv-LV"/>
        </w:rPr>
        <w:t xml:space="preserve">reģistrē </w:t>
      </w:r>
      <w:r w:rsidRPr="00C107CE">
        <w:rPr>
          <w:rFonts w:eastAsia="Times New Roman"/>
          <w:lang w:val="lv-LV" w:eastAsia="lv-LV"/>
        </w:rPr>
        <w:t xml:space="preserve">atbilstoši  Ministru kabineta 2011.gada 19.aprīļa noteikumu Nr.302 “Noteikumi par atkritumu klasifikatoru un īpašībām, kuras padara atkritumus bīstamus” </w:t>
      </w:r>
      <w:r>
        <w:rPr>
          <w:rFonts w:eastAsia="Times New Roman"/>
          <w:lang w:val="lv-LV" w:eastAsia="lv-LV"/>
        </w:rPr>
        <w:t xml:space="preserve">(turpmāk – MK noteikumi Nr.302) </w:t>
      </w:r>
      <w:r w:rsidRPr="00C107CE">
        <w:rPr>
          <w:rFonts w:eastAsia="Times New Roman"/>
          <w:lang w:val="lv-LV" w:eastAsia="lv-LV"/>
        </w:rPr>
        <w:t>pielikumam</w:t>
      </w:r>
      <w:r w:rsidRPr="00061C4B">
        <w:rPr>
          <w:rFonts w:eastAsia="Times New Roman"/>
          <w:b/>
          <w:bCs/>
          <w:lang w:val="lv-LV" w:eastAsia="lv-LV"/>
        </w:rPr>
        <w:t xml:space="preserve"> kā atsevišķi savāktu atkritumu veidu 2001 grupas 4 atkritumu klases</w:t>
      </w:r>
      <w:r>
        <w:rPr>
          <w:rFonts w:eastAsia="Times New Roman"/>
          <w:lang w:val="lv-LV" w:eastAsia="lv-LV"/>
        </w:rPr>
        <w:t xml:space="preserve">: </w:t>
      </w:r>
    </w:p>
    <w:p w14:paraId="7E125388" w14:textId="77777777" w:rsidR="009E2D5F" w:rsidRPr="00EB3815" w:rsidRDefault="009E2D5F" w:rsidP="009E2D5F">
      <w:pPr>
        <w:pStyle w:val="ListParagraph"/>
        <w:numPr>
          <w:ilvl w:val="1"/>
          <w:numId w:val="1"/>
        </w:numPr>
        <w:shd w:val="clear" w:color="auto" w:fill="FFFFFF"/>
        <w:spacing w:line="240" w:lineRule="auto"/>
        <w:jc w:val="both"/>
        <w:rPr>
          <w:lang w:val="lv-LV"/>
        </w:rPr>
      </w:pPr>
      <w:r w:rsidRPr="00C107CE">
        <w:rPr>
          <w:rFonts w:eastAsia="Times New Roman"/>
          <w:lang w:val="lv-LV" w:eastAsia="lv-LV"/>
        </w:rPr>
        <w:t xml:space="preserve">200135* (bīstamus komponentus saturošas nederīgas elektriskās un elektroniskās iekārtas, kuras neatbilst 200121 un 200123 klasei), </w:t>
      </w:r>
    </w:p>
    <w:p w14:paraId="201B914D" w14:textId="77777777" w:rsidR="009E2D5F" w:rsidRPr="00EB3815" w:rsidRDefault="009E2D5F" w:rsidP="009E2D5F">
      <w:pPr>
        <w:pStyle w:val="ListParagraph"/>
        <w:numPr>
          <w:ilvl w:val="1"/>
          <w:numId w:val="1"/>
        </w:numPr>
        <w:shd w:val="clear" w:color="auto" w:fill="FFFFFF"/>
        <w:spacing w:line="240" w:lineRule="auto"/>
        <w:jc w:val="both"/>
        <w:rPr>
          <w:lang w:val="lv-LV"/>
        </w:rPr>
      </w:pPr>
      <w:r w:rsidRPr="00C107CE">
        <w:rPr>
          <w:rFonts w:eastAsia="Times New Roman"/>
          <w:lang w:val="lv-LV" w:eastAsia="lv-LV"/>
        </w:rPr>
        <w:t xml:space="preserve">200136 (citas nederīgas elektriskās un elektroniskās iekārtas, kuras neatbilst 200121, 200123 un 200135 klasei),  </w:t>
      </w:r>
    </w:p>
    <w:p w14:paraId="5CA20B6A" w14:textId="77777777" w:rsidR="009E2D5F" w:rsidRPr="00EB3815" w:rsidRDefault="009E2D5F" w:rsidP="009E2D5F">
      <w:pPr>
        <w:pStyle w:val="ListParagraph"/>
        <w:numPr>
          <w:ilvl w:val="1"/>
          <w:numId w:val="1"/>
        </w:numPr>
        <w:shd w:val="clear" w:color="auto" w:fill="FFFFFF"/>
        <w:spacing w:line="240" w:lineRule="auto"/>
        <w:jc w:val="both"/>
        <w:rPr>
          <w:lang w:val="lv-LV"/>
        </w:rPr>
      </w:pPr>
      <w:r w:rsidRPr="00C107CE">
        <w:rPr>
          <w:rFonts w:eastAsia="Times New Roman"/>
          <w:lang w:val="lv-LV" w:eastAsia="lv-LV"/>
        </w:rPr>
        <w:t xml:space="preserve">200123* </w:t>
      </w:r>
      <w:r>
        <w:rPr>
          <w:rFonts w:eastAsia="Times New Roman"/>
          <w:lang w:val="lv-LV" w:eastAsia="lv-LV"/>
        </w:rPr>
        <w:t>(</w:t>
      </w:r>
      <w:proofErr w:type="spellStart"/>
      <w:r>
        <w:rPr>
          <w:rFonts w:eastAsia="Times New Roman"/>
          <w:lang w:val="lv-LV" w:eastAsia="lv-LV"/>
        </w:rPr>
        <w:t>h</w:t>
      </w:r>
      <w:r w:rsidRPr="007870B7">
        <w:rPr>
          <w:rFonts w:eastAsia="Times New Roman"/>
          <w:lang w:val="lv-LV" w:eastAsia="lv-LV"/>
        </w:rPr>
        <w:t>lorfluorūdeņražus</w:t>
      </w:r>
      <w:proofErr w:type="spellEnd"/>
      <w:r w:rsidRPr="007870B7">
        <w:rPr>
          <w:rFonts w:eastAsia="Times New Roman"/>
          <w:lang w:val="lv-LV" w:eastAsia="lv-LV"/>
        </w:rPr>
        <w:t xml:space="preserve"> saturošas nederīgas iekārtas</w:t>
      </w:r>
      <w:r>
        <w:rPr>
          <w:rFonts w:eastAsia="Times New Roman"/>
          <w:lang w:val="lv-LV" w:eastAsia="lv-LV"/>
        </w:rPr>
        <w:t xml:space="preserve">) </w:t>
      </w:r>
    </w:p>
    <w:p w14:paraId="4F9CD68C" w14:textId="77777777" w:rsidR="009E2D5F" w:rsidRPr="00C107CE" w:rsidRDefault="009E2D5F" w:rsidP="009E2D5F">
      <w:pPr>
        <w:pStyle w:val="ListParagraph"/>
        <w:numPr>
          <w:ilvl w:val="1"/>
          <w:numId w:val="1"/>
        </w:numPr>
        <w:shd w:val="clear" w:color="auto" w:fill="FFFFFF"/>
        <w:spacing w:after="120" w:line="240" w:lineRule="auto"/>
        <w:jc w:val="both"/>
        <w:rPr>
          <w:lang w:val="lv-LV"/>
        </w:rPr>
      </w:pPr>
      <w:r w:rsidRPr="00C107CE">
        <w:rPr>
          <w:rFonts w:eastAsia="Times New Roman"/>
          <w:lang w:val="lv-LV" w:eastAsia="lv-LV"/>
        </w:rPr>
        <w:t xml:space="preserve">200121* (luminiscentās spuldzes un citi dzīvsudrabu saturoši atkritumi). </w:t>
      </w:r>
    </w:p>
    <w:p w14:paraId="4EDF880F" w14:textId="77777777" w:rsidR="009E2D5F" w:rsidRPr="00C107CE" w:rsidRDefault="009E2D5F" w:rsidP="009E2D5F">
      <w:pPr>
        <w:shd w:val="clear" w:color="auto" w:fill="FFFFFF"/>
        <w:spacing w:after="120" w:line="240" w:lineRule="auto"/>
        <w:jc w:val="both"/>
        <w:rPr>
          <w:b/>
          <w:bCs/>
          <w:i/>
          <w:iCs/>
          <w:lang w:val="lv-LV"/>
        </w:rPr>
      </w:pPr>
      <w:r>
        <w:rPr>
          <w:b/>
          <w:bCs/>
          <w:i/>
          <w:iCs/>
          <w:lang w:val="lv-LV"/>
        </w:rPr>
        <w:t>Apstrādes i</w:t>
      </w:r>
      <w:r w:rsidRPr="00C107CE">
        <w:rPr>
          <w:b/>
          <w:bCs/>
          <w:i/>
          <w:iCs/>
          <w:lang w:val="lv-LV"/>
        </w:rPr>
        <w:t xml:space="preserve">ekārtas </w:t>
      </w:r>
    </w:p>
    <w:p w14:paraId="70738110" w14:textId="77777777" w:rsidR="009E2D5F" w:rsidRPr="00D71CF6" w:rsidRDefault="009E2D5F" w:rsidP="009E2D5F">
      <w:pPr>
        <w:pStyle w:val="tv213"/>
        <w:numPr>
          <w:ilvl w:val="0"/>
          <w:numId w:val="1"/>
        </w:numPr>
        <w:shd w:val="clear" w:color="auto" w:fill="FFFFFF"/>
        <w:spacing w:before="0" w:beforeAutospacing="0" w:after="120" w:afterAutospacing="0" w:line="293" w:lineRule="atLeast"/>
        <w:jc w:val="both"/>
      </w:pPr>
      <w:r w:rsidRPr="006C1135">
        <w:rPr>
          <w:shd w:val="clear" w:color="auto" w:fill="FFFFFF"/>
        </w:rPr>
        <w:t>A</w:t>
      </w:r>
      <w:r w:rsidR="002F2E4B">
        <w:rPr>
          <w:shd w:val="clear" w:color="auto" w:fill="FFFFFF"/>
        </w:rPr>
        <w:t xml:space="preserve">tkritumu apsaimniekošanas likums (turpmāk – AAL) </w:t>
      </w:r>
      <w:r w:rsidRPr="006C1135">
        <w:rPr>
          <w:shd w:val="clear" w:color="auto" w:fill="FFFFFF"/>
        </w:rPr>
        <w:t xml:space="preserve">26.panta 5.daļa paredz, ka savāktos </w:t>
      </w:r>
      <w:r w:rsidRPr="006C1135">
        <w:rPr>
          <w:b/>
          <w:bCs/>
          <w:shd w:val="clear" w:color="auto" w:fill="FFFFFF"/>
        </w:rPr>
        <w:t>elektrisko vai elektronisko iekārtu atkritumus nodod apstrādes uzņēmumu (iekārtu) operatoriem</w:t>
      </w:r>
      <w:r w:rsidRPr="006C1135">
        <w:rPr>
          <w:shd w:val="clear" w:color="auto" w:fill="FFFFFF"/>
        </w:rPr>
        <w:t>, ja tie ir saņēmuši normatīvajos aktos noteiktās atļaujas, izņemot neizkomplektētas elektriskās vai elektroniskās iekārtas, kuras paredzēts izmantot atkārtoti.</w:t>
      </w:r>
    </w:p>
    <w:p w14:paraId="1A2B25F2" w14:textId="6179070C" w:rsidR="009E2D5F" w:rsidRDefault="009E2D5F" w:rsidP="009E2D5F">
      <w:pPr>
        <w:pStyle w:val="tv213"/>
        <w:numPr>
          <w:ilvl w:val="0"/>
          <w:numId w:val="1"/>
        </w:numPr>
        <w:shd w:val="clear" w:color="auto" w:fill="FFFFFF"/>
        <w:spacing w:before="0" w:beforeAutospacing="0" w:after="120" w:afterAutospacing="0" w:line="293" w:lineRule="atLeast"/>
        <w:jc w:val="both"/>
      </w:pPr>
      <w:r>
        <w:t xml:space="preserve">Iekārtu operators savai darbībai pieprasa un saņem A vai B kategorijas piesārņojošās darbības atļaujas atbilstoši Ministru kabineta 2010.gada 30.novembra noteikumiem  Nr.1082 “Kārtība, kādā piesakāmas A, B un C kategorijas piesārņojošas darbības </w:t>
      </w:r>
      <w:r>
        <w:lastRenderedPageBreak/>
        <w:t>un izsniedzamas atļaujas A un B kategorijas piesārņojošo darbību veikšanai”, kur 3.pielikuma forma paredz aizpildīt arī 21.tabulu “</w:t>
      </w:r>
      <w:r w:rsidRPr="00D71CF6">
        <w:t>Atkritumu veidošanās un rīcība ar tiem</w:t>
      </w:r>
      <w:r>
        <w:t>”, kur norādāma atkritumu klase, atkritumu nosaukums un atkritumu bīstamība a</w:t>
      </w:r>
      <w:r w:rsidRPr="00C107CE">
        <w:t xml:space="preserve">tbilstoši </w:t>
      </w:r>
      <w:r>
        <w:t xml:space="preserve">MK noteikumu </w:t>
      </w:r>
      <w:r w:rsidRPr="00C107CE">
        <w:t>Nr.302</w:t>
      </w:r>
      <w:r w:rsidR="00EE5712">
        <w:t xml:space="preserve"> pielikumam</w:t>
      </w:r>
      <w:r>
        <w:t xml:space="preserve">, kā arī </w:t>
      </w:r>
      <w:r w:rsidRPr="00C107CE">
        <w:t>atkritumu reģenerācijas veids saskaņā ar Ministru kabineta 2011.gada 26.aprīļa noteikumiem Nr.319 "Noteikumi par atkritumu reģenerācijas un apglabāšanas veidiem".</w:t>
      </w:r>
      <w:r>
        <w:t xml:space="preserve"> </w:t>
      </w:r>
    </w:p>
    <w:p w14:paraId="045B7462" w14:textId="77777777" w:rsidR="009E2D5F" w:rsidRPr="00A91B73" w:rsidRDefault="009E2D5F" w:rsidP="009E2D5F">
      <w:pPr>
        <w:pStyle w:val="tv213"/>
        <w:shd w:val="clear" w:color="auto" w:fill="FFFFFF"/>
        <w:spacing w:before="0" w:beforeAutospacing="0" w:after="120" w:afterAutospacing="0" w:line="293" w:lineRule="atLeast"/>
        <w:jc w:val="both"/>
        <w:rPr>
          <w:b/>
          <w:bCs/>
          <w:i/>
          <w:iCs/>
        </w:rPr>
      </w:pPr>
      <w:r w:rsidRPr="00A91B73">
        <w:rPr>
          <w:b/>
          <w:bCs/>
          <w:i/>
          <w:iCs/>
        </w:rPr>
        <w:t xml:space="preserve">Ražotāja atbildība </w:t>
      </w:r>
    </w:p>
    <w:p w14:paraId="438C814F" w14:textId="77777777" w:rsidR="009E2D5F" w:rsidRDefault="009E2D5F" w:rsidP="009E2D5F">
      <w:pPr>
        <w:pStyle w:val="tv213"/>
        <w:numPr>
          <w:ilvl w:val="0"/>
          <w:numId w:val="1"/>
        </w:numPr>
        <w:shd w:val="clear" w:color="auto" w:fill="FFFFFF"/>
        <w:spacing w:before="0" w:beforeAutospacing="0" w:after="120" w:afterAutospacing="0" w:line="293" w:lineRule="atLeast"/>
        <w:jc w:val="both"/>
      </w:pPr>
      <w:r w:rsidRPr="00A91B73">
        <w:t xml:space="preserve">AAL 25.pants nosaka, ka elektrisko un elektronisko iekārtu ražotājs sadarbojas ar komersantiem, kas veic elektrisko un elektronisko iekārtu atkritumu pārstrādi, lai veicinātu elektrisko un elektronisko iekārtu izstrādi un ražošanu tā, ka ir iespējama to demontāža un reģenerācija, kā arī šo iekārtu, to sastāvdaļu un materiālu atkārtota izmantošana, atdalīšana un reģenerācija. Elektrisko un elektronisko iekārtu izstrādē un ražošanā piemēro normatīvajos aktos par ekodizaina prasībām ar enerģiju saistītām precēm (produktiem) noteiktās prasības, nelietojot paņēmienus, kuri apgrūtina minēto iekārtu atkritumu atkārtotu izmantošanu, izņemot gadījumus, kad šādu paņēmienu lietošana būtiski uzlabo vides aizsardzības vai drošības prasību piemērošanu. </w:t>
      </w:r>
    </w:p>
    <w:p w14:paraId="004985E6" w14:textId="65AB91E6" w:rsidR="009E2D5F" w:rsidRDefault="009E2D5F" w:rsidP="00453ED4">
      <w:pPr>
        <w:pStyle w:val="tv213"/>
        <w:numPr>
          <w:ilvl w:val="0"/>
          <w:numId w:val="1"/>
        </w:numPr>
        <w:shd w:val="clear" w:color="auto" w:fill="FFFFFF"/>
        <w:spacing w:before="0" w:beforeAutospacing="0" w:after="120" w:afterAutospacing="0" w:line="293" w:lineRule="atLeast"/>
        <w:jc w:val="both"/>
      </w:pPr>
      <w:r w:rsidRPr="00A91B73">
        <w:t>AAL 26.panta 1.daļā noteikts: Elektrisko un elektronisko iekārtu ražotājs nodrošina šo iekārtu atkritumu savākšanu, pieņemšanu, apstrādi, atkārtotu izmantošanu, pārstrādi, reģenerāciju un apglabāšanu, pielietojot labākos pieejamos tehniskos paņēmienus.</w:t>
      </w:r>
    </w:p>
    <w:p w14:paraId="1862FB15" w14:textId="15E6565B" w:rsidR="00310FF7" w:rsidRDefault="00123D91" w:rsidP="00453ED4">
      <w:pPr>
        <w:pStyle w:val="tv213"/>
        <w:numPr>
          <w:ilvl w:val="0"/>
          <w:numId w:val="1"/>
        </w:numPr>
        <w:shd w:val="clear" w:color="auto" w:fill="FFFFFF"/>
        <w:spacing w:before="0" w:beforeAutospacing="0" w:after="120" w:afterAutospacing="0" w:line="293" w:lineRule="atLeast"/>
        <w:jc w:val="both"/>
      </w:pPr>
      <w:r>
        <w:t xml:space="preserve">Ministru kabineta 2009.gada 3.novembra noteikumi Nr.1294  “Kārtība, kādā atbrīvo no dabas resursu nodokļa samaksas par videi kaitīgām precēm” </w:t>
      </w:r>
      <w:r w:rsidR="001D38BB">
        <w:t xml:space="preserve">(turpmāk – MK noteikumi Nr. 1294) </w:t>
      </w:r>
      <w:r>
        <w:t>27.punkts paredz ražotāju atbildības sistēmas apsaimniekotāja atbildību</w:t>
      </w:r>
      <w:r w:rsidR="001D38BB">
        <w:t xml:space="preserve">: </w:t>
      </w:r>
      <w:r w:rsidR="001D38BB" w:rsidRPr="001D38BB">
        <w:t>Apsaimniekotājs, kura līgumpartneri ir atbrīvoti no nodokļa samaksas, katru gadu līdz 30. aprīlim iesniedz dienestā auditētu pārskatu par iepriekšējo gadu atbilstoši</w:t>
      </w:r>
      <w:r w:rsidR="001D38BB">
        <w:t xml:space="preserve"> MK</w:t>
      </w:r>
      <w:r w:rsidR="001D38BB" w:rsidRPr="001D38BB">
        <w:t xml:space="preserve"> noteikumu </w:t>
      </w:r>
      <w:r w:rsidR="001D38BB">
        <w:t xml:space="preserve">Nr. 1294 </w:t>
      </w:r>
      <w:r w:rsidR="001D38BB" w:rsidRPr="001D38BB">
        <w:t>4. pielikumam. Pārskatam pievieno vides aizsardzības normatīvajos aktos noteikto auditora atzinumu par pārskatā minētās informācijas atbilstību prasībām, kas noteiktas normatīvajos aktos par videi kaitīgu preču atkritumu uzskaiti un apsaimniekošanu.</w:t>
      </w:r>
    </w:p>
    <w:p w14:paraId="1FA28600" w14:textId="77777777" w:rsidR="007A11CE" w:rsidRPr="007A11CE" w:rsidRDefault="007A11CE" w:rsidP="009E2D5F">
      <w:pPr>
        <w:pStyle w:val="tv213"/>
        <w:shd w:val="clear" w:color="auto" w:fill="FFFFFF"/>
        <w:spacing w:before="0" w:beforeAutospacing="0" w:after="120" w:afterAutospacing="0" w:line="293" w:lineRule="atLeast"/>
        <w:jc w:val="both"/>
      </w:pPr>
    </w:p>
    <w:sectPr w:rsidR="007A11CE" w:rsidRPr="007A11CE" w:rsidSect="001F13FC">
      <w:pgSz w:w="15840" w:h="12240"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3C3A" w14:textId="77777777" w:rsidR="0016476B" w:rsidRDefault="0016476B" w:rsidP="008274D5">
      <w:pPr>
        <w:spacing w:line="240" w:lineRule="auto"/>
      </w:pPr>
      <w:r>
        <w:separator/>
      </w:r>
    </w:p>
  </w:endnote>
  <w:endnote w:type="continuationSeparator" w:id="0">
    <w:p w14:paraId="4802122B" w14:textId="77777777" w:rsidR="0016476B" w:rsidRDefault="0016476B" w:rsidP="008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A849" w14:textId="77777777" w:rsidR="0016476B" w:rsidRDefault="0016476B" w:rsidP="008274D5">
      <w:pPr>
        <w:spacing w:line="240" w:lineRule="auto"/>
      </w:pPr>
      <w:r>
        <w:separator/>
      </w:r>
    </w:p>
  </w:footnote>
  <w:footnote w:type="continuationSeparator" w:id="0">
    <w:p w14:paraId="7FF05F49" w14:textId="77777777" w:rsidR="0016476B" w:rsidRDefault="0016476B" w:rsidP="008274D5">
      <w:pPr>
        <w:spacing w:line="240" w:lineRule="auto"/>
      </w:pPr>
      <w:r>
        <w:continuationSeparator/>
      </w:r>
    </w:p>
  </w:footnote>
  <w:footnote w:id="1">
    <w:p w14:paraId="1A3DA204" w14:textId="064381C1" w:rsidR="008274D5" w:rsidRPr="008274D5" w:rsidRDefault="008274D5">
      <w:pPr>
        <w:pStyle w:val="FootnoteText"/>
        <w:rPr>
          <w:lang w:val="lv-LV"/>
        </w:rPr>
      </w:pPr>
      <w:r w:rsidRPr="008274D5">
        <w:rPr>
          <w:rStyle w:val="FootnoteReference"/>
          <w:lang w:val="lv-LV"/>
        </w:rPr>
        <w:footnoteRef/>
      </w:r>
      <w:r w:rsidRPr="008274D5">
        <w:rPr>
          <w:lang w:val="lv-LV"/>
        </w:rPr>
        <w:t xml:space="preserve"> Izmantots avots: </w:t>
      </w:r>
      <w:r w:rsidRPr="008274D5">
        <w:rPr>
          <w:lang w:val="en-GB"/>
        </w:rPr>
        <w:t>Basic Guide on WEEE for enforcement Agencies</w:t>
      </w:r>
      <w:r w:rsidRPr="008274D5">
        <w:rPr>
          <w:lang w:val="lv-LV"/>
        </w:rPr>
        <w:t xml:space="preserve"> 2013, pieejams  </w:t>
      </w:r>
      <w:hyperlink r:id="rId1" w:history="1">
        <w:r w:rsidRPr="008274D5">
          <w:rPr>
            <w:rStyle w:val="Hyperlink"/>
            <w:lang w:val="lv-LV"/>
          </w:rPr>
          <w:t>http://www.cwitproject.eu/wp-content/uploads/2013/10/Guide-on-WEEE-for-Enforcement-Agencies.pdf</w:t>
        </w:r>
      </w:hyperlink>
      <w:r w:rsidRPr="008274D5">
        <w:rPr>
          <w:lang w:val="lv-LV"/>
        </w:rPr>
        <w:t xml:space="preserve"> </w:t>
      </w:r>
    </w:p>
  </w:footnote>
  <w:footnote w:id="2">
    <w:p w14:paraId="52B6D4DD" w14:textId="0A71C625" w:rsidR="008274D5" w:rsidRPr="008274D5" w:rsidRDefault="008274D5">
      <w:pPr>
        <w:pStyle w:val="FootnoteText"/>
        <w:rPr>
          <w:lang w:val="lv-LV"/>
        </w:rPr>
      </w:pPr>
      <w:r w:rsidRPr="008274D5">
        <w:rPr>
          <w:rStyle w:val="FootnoteReference"/>
          <w:lang w:val="lv-LV"/>
        </w:rPr>
        <w:footnoteRef/>
      </w:r>
      <w:r w:rsidRPr="008274D5">
        <w:rPr>
          <w:lang w:val="lv-LV"/>
        </w:rPr>
        <w:t xml:space="preserve"> Izmantots avots: </w:t>
      </w:r>
      <w:r w:rsidRPr="008274D5">
        <w:rPr>
          <w:lang w:val="en-GB"/>
        </w:rPr>
        <w:t>Guidance on Best Available Treatment Recovery and Recycling Techniques (BATRRT) and treatment of Waste Electrical and Electronic Equipment (WEEE),  November</w:t>
      </w:r>
      <w:r w:rsidRPr="008274D5">
        <w:rPr>
          <w:lang w:val="lv-LV"/>
        </w:rPr>
        <w:t xml:space="preserve"> 2006, pieejams  </w:t>
      </w:r>
      <w:hyperlink r:id="rId2" w:history="1">
        <w:r w:rsidRPr="008274D5">
          <w:rPr>
            <w:rStyle w:val="Hyperlink"/>
            <w:lang w:val="lv-LV"/>
          </w:rPr>
          <w:t>https://webarchive.nationalarchives.gov.uk/20130403043343/http://archive.defra.gov.uk/environment/waste/producer/electrical/documents/weee-batrrt-guidance.pdf</w:t>
        </w:r>
      </w:hyperlink>
      <w:r w:rsidRPr="008274D5">
        <w:rPr>
          <w:lang w:val="lv-LV"/>
        </w:rPr>
        <w:t xml:space="preserve"> </w:t>
      </w:r>
    </w:p>
  </w:footnote>
  <w:footnote w:id="3">
    <w:p w14:paraId="616C0C5A" w14:textId="5A046F35" w:rsidR="00E2296A" w:rsidRPr="00E2296A" w:rsidRDefault="00E2296A" w:rsidP="00E2296A">
      <w:pPr>
        <w:pStyle w:val="FootnoteText"/>
        <w:rPr>
          <w:lang w:val="lv-LV"/>
        </w:rPr>
      </w:pPr>
      <w:r>
        <w:rPr>
          <w:rStyle w:val="FootnoteReference"/>
        </w:rPr>
        <w:footnoteRef/>
      </w:r>
      <w:r>
        <w:t xml:space="preserve"> </w:t>
      </w:r>
      <w:r>
        <w:rPr>
          <w:lang w:val="lv-LV"/>
        </w:rPr>
        <w:t>Izmantotais avots:</w:t>
      </w:r>
      <w:r w:rsidRPr="00E2296A">
        <w:t xml:space="preserve"> </w:t>
      </w:r>
      <w:r w:rsidRPr="00E2296A">
        <w:rPr>
          <w:lang w:val="lv-LV"/>
        </w:rPr>
        <w:t xml:space="preserve">WEEE2 – </w:t>
      </w:r>
      <w:proofErr w:type="spellStart"/>
      <w:r w:rsidRPr="00E2296A">
        <w:rPr>
          <w:lang w:val="lv-LV"/>
        </w:rPr>
        <w:t>Definition</w:t>
      </w:r>
      <w:proofErr w:type="spellEnd"/>
      <w:r w:rsidRPr="00E2296A">
        <w:rPr>
          <w:lang w:val="lv-LV"/>
        </w:rPr>
        <w:t xml:space="preserve"> </w:t>
      </w:r>
      <w:proofErr w:type="spellStart"/>
      <w:r w:rsidRPr="00E2296A">
        <w:rPr>
          <w:lang w:val="lv-LV"/>
        </w:rPr>
        <w:t>and</w:t>
      </w:r>
      <w:proofErr w:type="spellEnd"/>
      <w:r w:rsidRPr="00E2296A">
        <w:rPr>
          <w:lang w:val="lv-LV"/>
        </w:rPr>
        <w:t xml:space="preserve"> </w:t>
      </w:r>
      <w:proofErr w:type="spellStart"/>
      <w:r w:rsidRPr="00E2296A">
        <w:rPr>
          <w:lang w:val="lv-LV"/>
        </w:rPr>
        <w:t>Understanding</w:t>
      </w:r>
      <w:proofErr w:type="spellEnd"/>
      <w:r>
        <w:rPr>
          <w:lang w:val="lv-LV"/>
        </w:rPr>
        <w:t xml:space="preserve"> </w:t>
      </w:r>
      <w:proofErr w:type="spellStart"/>
      <w:r w:rsidRPr="00E2296A">
        <w:rPr>
          <w:lang w:val="lv-LV"/>
        </w:rPr>
        <w:t>of</w:t>
      </w:r>
      <w:proofErr w:type="spellEnd"/>
      <w:r w:rsidRPr="00E2296A">
        <w:rPr>
          <w:lang w:val="lv-LV"/>
        </w:rPr>
        <w:t xml:space="preserve"> </w:t>
      </w:r>
      <w:proofErr w:type="spellStart"/>
      <w:r w:rsidRPr="00E2296A">
        <w:rPr>
          <w:lang w:val="lv-LV"/>
        </w:rPr>
        <w:t>the</w:t>
      </w:r>
      <w:proofErr w:type="spellEnd"/>
      <w:r w:rsidRPr="00E2296A">
        <w:rPr>
          <w:lang w:val="lv-LV"/>
        </w:rPr>
        <w:t xml:space="preserve"> 6 </w:t>
      </w:r>
      <w:proofErr w:type="spellStart"/>
      <w:r w:rsidRPr="00E2296A">
        <w:rPr>
          <w:lang w:val="lv-LV"/>
        </w:rPr>
        <w:t>Categories</w:t>
      </w:r>
      <w:proofErr w:type="spellEnd"/>
      <w:r w:rsidRPr="00E2296A">
        <w:rPr>
          <w:lang w:val="lv-LV"/>
        </w:rPr>
        <w:t xml:space="preserve"> (15.08.2018)</w:t>
      </w:r>
      <w:r>
        <w:rPr>
          <w:lang w:val="lv-LV"/>
        </w:rPr>
        <w:t xml:space="preserve">, pieejams </w:t>
      </w:r>
      <w:hyperlink r:id="rId3" w:history="1">
        <w:r w:rsidRPr="009B6A66">
          <w:rPr>
            <w:rStyle w:val="Hyperlink"/>
            <w:lang w:val="lv-LV"/>
          </w:rPr>
          <w:t>https://www.ewrn.org/publications-events/publications/the-6-categories-open-scope</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E2A"/>
    <w:multiLevelType w:val="hybridMultilevel"/>
    <w:tmpl w:val="7B829E48"/>
    <w:lvl w:ilvl="0" w:tplc="C28ADF4E">
      <w:start w:val="1"/>
      <w:numFmt w:val="decimal"/>
      <w:lvlText w:val="%1."/>
      <w:lvlJc w:val="left"/>
      <w:pPr>
        <w:ind w:left="720" w:hanging="360"/>
      </w:pPr>
      <w:rPr>
        <w:rFonts w:hint="default"/>
      </w:rPr>
    </w:lvl>
    <w:lvl w:ilvl="1" w:tplc="E018B378">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22056E"/>
    <w:multiLevelType w:val="hybridMultilevel"/>
    <w:tmpl w:val="08BED270"/>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CE"/>
    <w:rsid w:val="000B05B2"/>
    <w:rsid w:val="001130DF"/>
    <w:rsid w:val="00123D91"/>
    <w:rsid w:val="0016476B"/>
    <w:rsid w:val="001D38BB"/>
    <w:rsid w:val="001F13FC"/>
    <w:rsid w:val="002115AE"/>
    <w:rsid w:val="002135E0"/>
    <w:rsid w:val="00293AE5"/>
    <w:rsid w:val="002C4774"/>
    <w:rsid w:val="002F2E4B"/>
    <w:rsid w:val="00310FF7"/>
    <w:rsid w:val="00453ED4"/>
    <w:rsid w:val="00623991"/>
    <w:rsid w:val="0064059B"/>
    <w:rsid w:val="00680F05"/>
    <w:rsid w:val="006B1B1C"/>
    <w:rsid w:val="007A11CE"/>
    <w:rsid w:val="007C5767"/>
    <w:rsid w:val="008274D5"/>
    <w:rsid w:val="0095476E"/>
    <w:rsid w:val="009E2D5F"/>
    <w:rsid w:val="009E693A"/>
    <w:rsid w:val="00C22E4D"/>
    <w:rsid w:val="00C50BFC"/>
    <w:rsid w:val="00D844F0"/>
    <w:rsid w:val="00E2296A"/>
    <w:rsid w:val="00EE5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E900"/>
  <w15:chartTrackingRefBased/>
  <w15:docId w15:val="{40035D18-020D-4ACA-AD9B-6A1D7074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1B1C"/>
    <w:pPr>
      <w:spacing w:line="240" w:lineRule="auto"/>
      <w:jc w:val="center"/>
    </w:pPr>
    <w:rPr>
      <w:rFonts w:eastAsia="Times New Roman"/>
      <w:b/>
    </w:rPr>
  </w:style>
  <w:style w:type="character" w:customStyle="1" w:styleId="TitleChar">
    <w:name w:val="Title Char"/>
    <w:link w:val="Title"/>
    <w:rsid w:val="006B1B1C"/>
    <w:rPr>
      <w:rFonts w:eastAsia="Times New Roman"/>
      <w:b/>
    </w:rPr>
  </w:style>
  <w:style w:type="paragraph" w:styleId="NoSpacing">
    <w:name w:val="No Spacing"/>
    <w:uiPriority w:val="1"/>
    <w:qFormat/>
    <w:rsid w:val="006B1B1C"/>
    <w:pPr>
      <w:widowControl w:val="0"/>
    </w:pPr>
    <w:rPr>
      <w:sz w:val="22"/>
      <w:szCs w:val="22"/>
    </w:rPr>
  </w:style>
  <w:style w:type="table" w:styleId="TableGrid">
    <w:name w:val="Table Grid"/>
    <w:basedOn w:val="TableNormal"/>
    <w:uiPriority w:val="39"/>
    <w:rsid w:val="007A11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11CE"/>
    <w:pPr>
      <w:spacing w:before="100" w:beforeAutospacing="1" w:after="100" w:afterAutospacing="1" w:line="240" w:lineRule="auto"/>
    </w:pPr>
    <w:rPr>
      <w:rFonts w:eastAsia="Times New Roman"/>
      <w:lang w:val="lv-LV" w:eastAsia="lv-LV"/>
    </w:rPr>
  </w:style>
  <w:style w:type="paragraph" w:styleId="FootnoteText">
    <w:name w:val="footnote text"/>
    <w:basedOn w:val="Normal"/>
    <w:link w:val="FootnoteTextChar"/>
    <w:uiPriority w:val="99"/>
    <w:unhideWhenUsed/>
    <w:rsid w:val="007A11CE"/>
    <w:pPr>
      <w:spacing w:line="240" w:lineRule="auto"/>
    </w:pPr>
    <w:rPr>
      <w:sz w:val="20"/>
      <w:szCs w:val="20"/>
    </w:rPr>
  </w:style>
  <w:style w:type="character" w:customStyle="1" w:styleId="FootnoteTextChar">
    <w:name w:val="Footnote Text Char"/>
    <w:basedOn w:val="DefaultParagraphFont"/>
    <w:link w:val="FootnoteText"/>
    <w:uiPriority w:val="99"/>
    <w:rsid w:val="007A11CE"/>
    <w:rPr>
      <w:sz w:val="20"/>
      <w:szCs w:val="20"/>
    </w:rPr>
  </w:style>
  <w:style w:type="table" w:styleId="ListTable1Light">
    <w:name w:val="List Table 1 Light"/>
    <w:basedOn w:val="TableNormal"/>
    <w:uiPriority w:val="46"/>
    <w:rsid w:val="007A11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E2D5F"/>
    <w:pPr>
      <w:ind w:left="720"/>
      <w:contextualSpacing/>
    </w:pPr>
  </w:style>
  <w:style w:type="paragraph" w:styleId="BalloonText">
    <w:name w:val="Balloon Text"/>
    <w:basedOn w:val="Normal"/>
    <w:link w:val="BalloonTextChar"/>
    <w:uiPriority w:val="99"/>
    <w:semiHidden/>
    <w:unhideWhenUsed/>
    <w:rsid w:val="00D844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4F0"/>
    <w:rPr>
      <w:rFonts w:ascii="Segoe UI" w:hAnsi="Segoe UI" w:cs="Segoe UI"/>
      <w:sz w:val="18"/>
      <w:szCs w:val="18"/>
    </w:rPr>
  </w:style>
  <w:style w:type="character" w:styleId="FootnoteReference">
    <w:name w:val="footnote reference"/>
    <w:basedOn w:val="DefaultParagraphFont"/>
    <w:uiPriority w:val="99"/>
    <w:semiHidden/>
    <w:unhideWhenUsed/>
    <w:rsid w:val="008274D5"/>
    <w:rPr>
      <w:vertAlign w:val="superscript"/>
    </w:rPr>
  </w:style>
  <w:style w:type="character" w:styleId="Hyperlink">
    <w:name w:val="Hyperlink"/>
    <w:basedOn w:val="DefaultParagraphFont"/>
    <w:uiPriority w:val="99"/>
    <w:unhideWhenUsed/>
    <w:rsid w:val="008274D5"/>
    <w:rPr>
      <w:color w:val="0563C1" w:themeColor="hyperlink"/>
      <w:u w:val="single"/>
    </w:rPr>
  </w:style>
  <w:style w:type="character" w:customStyle="1" w:styleId="UnresolvedMention1">
    <w:name w:val="Unresolved Mention1"/>
    <w:basedOn w:val="DefaultParagraphFont"/>
    <w:uiPriority w:val="99"/>
    <w:semiHidden/>
    <w:unhideWhenUsed/>
    <w:rsid w:val="008274D5"/>
    <w:rPr>
      <w:color w:val="605E5C"/>
      <w:shd w:val="clear" w:color="auto" w:fill="E1DFDD"/>
    </w:rPr>
  </w:style>
  <w:style w:type="character" w:styleId="CommentReference">
    <w:name w:val="annotation reference"/>
    <w:basedOn w:val="DefaultParagraphFont"/>
    <w:uiPriority w:val="99"/>
    <w:semiHidden/>
    <w:unhideWhenUsed/>
    <w:rsid w:val="00310FF7"/>
    <w:rPr>
      <w:sz w:val="16"/>
      <w:szCs w:val="16"/>
    </w:rPr>
  </w:style>
  <w:style w:type="paragraph" w:styleId="CommentText">
    <w:name w:val="annotation text"/>
    <w:basedOn w:val="Normal"/>
    <w:link w:val="CommentTextChar"/>
    <w:uiPriority w:val="99"/>
    <w:semiHidden/>
    <w:unhideWhenUsed/>
    <w:rsid w:val="00310FF7"/>
    <w:pPr>
      <w:spacing w:line="240" w:lineRule="auto"/>
    </w:pPr>
    <w:rPr>
      <w:sz w:val="20"/>
      <w:szCs w:val="20"/>
    </w:rPr>
  </w:style>
  <w:style w:type="character" w:customStyle="1" w:styleId="CommentTextChar">
    <w:name w:val="Comment Text Char"/>
    <w:basedOn w:val="DefaultParagraphFont"/>
    <w:link w:val="CommentText"/>
    <w:uiPriority w:val="99"/>
    <w:semiHidden/>
    <w:rsid w:val="00310FF7"/>
    <w:rPr>
      <w:sz w:val="20"/>
      <w:szCs w:val="20"/>
    </w:rPr>
  </w:style>
  <w:style w:type="paragraph" w:styleId="CommentSubject">
    <w:name w:val="annotation subject"/>
    <w:basedOn w:val="CommentText"/>
    <w:next w:val="CommentText"/>
    <w:link w:val="CommentSubjectChar"/>
    <w:uiPriority w:val="99"/>
    <w:semiHidden/>
    <w:unhideWhenUsed/>
    <w:rsid w:val="00310FF7"/>
    <w:rPr>
      <w:b/>
      <w:bCs/>
    </w:rPr>
  </w:style>
  <w:style w:type="character" w:customStyle="1" w:styleId="CommentSubjectChar">
    <w:name w:val="Comment Subject Char"/>
    <w:basedOn w:val="CommentTextChar"/>
    <w:link w:val="CommentSubject"/>
    <w:uiPriority w:val="99"/>
    <w:semiHidden/>
    <w:rsid w:val="00310FF7"/>
    <w:rPr>
      <w:b/>
      <w:bCs/>
      <w:sz w:val="20"/>
      <w:szCs w:val="20"/>
    </w:rPr>
  </w:style>
  <w:style w:type="character" w:styleId="UnresolvedMention">
    <w:name w:val="Unresolved Mention"/>
    <w:basedOn w:val="DefaultParagraphFont"/>
    <w:uiPriority w:val="99"/>
    <w:semiHidden/>
    <w:unhideWhenUsed/>
    <w:rsid w:val="00E2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wrn.org/publications-events/publications/the-6-categories-open-scope" TargetMode="External"/><Relationship Id="rId2" Type="http://schemas.openxmlformats.org/officeDocument/2006/relationships/hyperlink" Target="https://webarchive.nationalarchives.gov.uk/20130403043343/http://archive.defra.gov.uk/environment/waste/producer/electrical/documents/weee-batrrt-guidance.pdf" TargetMode="External"/><Relationship Id="rId1" Type="http://schemas.openxmlformats.org/officeDocument/2006/relationships/hyperlink" Target="http://www.cwitproject.eu/wp-content/uploads/2013/10/Guide-on-WEEE-for-Enforcement-Agen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5C3D-DB63-488F-ADFA-D65E85A2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6750</Words>
  <Characters>3848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Zakka</dc:creator>
  <cp:keywords/>
  <dc:description/>
  <cp:lastModifiedBy>Signe Zakka</cp:lastModifiedBy>
  <cp:revision>2</cp:revision>
  <dcterms:created xsi:type="dcterms:W3CDTF">2019-11-13T13:31:00Z</dcterms:created>
  <dcterms:modified xsi:type="dcterms:W3CDTF">2019-11-13T13:31:00Z</dcterms:modified>
</cp:coreProperties>
</file>