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14C9B" w14:textId="77777777" w:rsidR="00086F9F" w:rsidRPr="00E52D15" w:rsidRDefault="00F12E17" w:rsidP="00086F9F">
      <w:pPr>
        <w:jc w:val="both"/>
        <w:rPr>
          <w:rFonts w:ascii="Times New Roman" w:hAnsi="Times New Roman" w:cs="Times New Roman"/>
          <w:b/>
          <w:iCs/>
        </w:rPr>
      </w:pPr>
      <w:proofErr w:type="spellStart"/>
      <w:r w:rsidRPr="00E52D15">
        <w:rPr>
          <w:rFonts w:ascii="Times New Roman" w:hAnsi="Times New Roman" w:cs="Times New Roman"/>
          <w:b/>
          <w:iCs/>
        </w:rPr>
        <w:t>Saskaņotie</w:t>
      </w:r>
      <w:proofErr w:type="spellEnd"/>
      <w:r w:rsidRPr="00E52D15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iCs/>
        </w:rPr>
        <w:t>riska</w:t>
      </w:r>
      <w:proofErr w:type="spellEnd"/>
      <w:r w:rsidRPr="00E52D15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iCs/>
        </w:rPr>
        <w:t>indikatori</w:t>
      </w:r>
      <w:proofErr w:type="spellEnd"/>
    </w:p>
    <w:p w14:paraId="0914854B" w14:textId="77777777" w:rsidR="00086F9F" w:rsidRPr="00E52D15" w:rsidRDefault="00086F9F" w:rsidP="00086F9F">
      <w:pPr>
        <w:jc w:val="both"/>
        <w:rPr>
          <w:rFonts w:ascii="Times New Roman" w:hAnsi="Times New Roman" w:cs="Times New Roman"/>
          <w:bCs/>
          <w:iCs/>
        </w:rPr>
      </w:pPr>
      <w:proofErr w:type="spellStart"/>
      <w:r w:rsidRPr="00E52D15">
        <w:rPr>
          <w:rFonts w:ascii="Times New Roman" w:hAnsi="Times New Roman" w:cs="Times New Roman"/>
          <w:bCs/>
          <w:iCs/>
        </w:rPr>
        <w:t>Direktīvas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2009/128/EK</w:t>
      </w:r>
      <w:r w:rsidR="009F250E" w:rsidRPr="00E52D15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="009F250E" w:rsidRPr="00E52D15">
        <w:rPr>
          <w:rFonts w:ascii="Times New Roman" w:hAnsi="Times New Roman" w:cs="Times New Roman"/>
          <w:bCs/>
          <w:iCs/>
        </w:rPr>
        <w:t>ar</w:t>
      </w:r>
      <w:proofErr w:type="spellEnd"/>
      <w:r w:rsidR="009F250E" w:rsidRPr="00E52D15">
        <w:rPr>
          <w:rFonts w:ascii="Times New Roman" w:hAnsi="Times New Roman" w:cs="Times New Roman"/>
          <w:bCs/>
          <w:iCs/>
        </w:rPr>
        <w:t xml:space="preserve"> kuru </w:t>
      </w:r>
      <w:proofErr w:type="spellStart"/>
      <w:r w:rsidR="009F250E" w:rsidRPr="00E52D15">
        <w:rPr>
          <w:rFonts w:ascii="Times New Roman" w:hAnsi="Times New Roman" w:cs="Times New Roman"/>
          <w:bCs/>
          <w:iCs/>
        </w:rPr>
        <w:t>nosaka</w:t>
      </w:r>
      <w:proofErr w:type="spellEnd"/>
      <w:r w:rsidR="009F250E"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9F250E" w:rsidRPr="00E52D15">
        <w:rPr>
          <w:rFonts w:ascii="Times New Roman" w:hAnsi="Times New Roman" w:cs="Times New Roman"/>
          <w:bCs/>
          <w:iCs/>
        </w:rPr>
        <w:t>Kopienas</w:t>
      </w:r>
      <w:proofErr w:type="spellEnd"/>
      <w:r w:rsidR="009F250E"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9F250E" w:rsidRPr="00E52D15">
        <w:rPr>
          <w:rFonts w:ascii="Times New Roman" w:hAnsi="Times New Roman" w:cs="Times New Roman"/>
          <w:bCs/>
          <w:iCs/>
        </w:rPr>
        <w:t>sistēmu</w:t>
      </w:r>
      <w:proofErr w:type="spellEnd"/>
      <w:r w:rsidR="009F250E"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9F250E" w:rsidRPr="00E52D15">
        <w:rPr>
          <w:rFonts w:ascii="Times New Roman" w:hAnsi="Times New Roman" w:cs="Times New Roman"/>
          <w:bCs/>
          <w:iCs/>
        </w:rPr>
        <w:t>pesticīdu</w:t>
      </w:r>
      <w:proofErr w:type="spellEnd"/>
      <w:r w:rsidR="009F250E"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9F250E" w:rsidRPr="00E52D15">
        <w:rPr>
          <w:rFonts w:ascii="Times New Roman" w:hAnsi="Times New Roman" w:cs="Times New Roman"/>
          <w:bCs/>
          <w:iCs/>
        </w:rPr>
        <w:t>ilgtspējīgas</w:t>
      </w:r>
      <w:proofErr w:type="spellEnd"/>
      <w:r w:rsidR="009F250E"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9F250E" w:rsidRPr="00E52D15">
        <w:rPr>
          <w:rFonts w:ascii="Times New Roman" w:hAnsi="Times New Roman" w:cs="Times New Roman"/>
          <w:bCs/>
          <w:iCs/>
        </w:rPr>
        <w:t>lietošanas</w:t>
      </w:r>
      <w:proofErr w:type="spellEnd"/>
      <w:r w:rsidR="009F250E"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9F250E" w:rsidRPr="00E52D15">
        <w:rPr>
          <w:rFonts w:ascii="Times New Roman" w:hAnsi="Times New Roman" w:cs="Times New Roman"/>
          <w:bCs/>
          <w:iCs/>
        </w:rPr>
        <w:t>nodrošināšanai</w:t>
      </w:r>
      <w:proofErr w:type="spellEnd"/>
      <w:r w:rsidR="009F250E" w:rsidRPr="00E52D15">
        <w:rPr>
          <w:rFonts w:ascii="Times New Roman" w:hAnsi="Times New Roman" w:cs="Times New Roman"/>
          <w:bCs/>
          <w:iCs/>
        </w:rPr>
        <w:t>,</w:t>
      </w:r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mērķis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ir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samazināt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riskus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un </w:t>
      </w:r>
      <w:proofErr w:type="spellStart"/>
      <w:r w:rsidRPr="00E52D15">
        <w:rPr>
          <w:rFonts w:ascii="Times New Roman" w:hAnsi="Times New Roman" w:cs="Times New Roman"/>
          <w:bCs/>
          <w:iCs/>
        </w:rPr>
        <w:t>ietekmi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, ko </w:t>
      </w:r>
      <w:proofErr w:type="spellStart"/>
      <w:r w:rsidRPr="00E52D15">
        <w:rPr>
          <w:rFonts w:ascii="Times New Roman" w:hAnsi="Times New Roman" w:cs="Times New Roman"/>
          <w:bCs/>
          <w:iCs/>
        </w:rPr>
        <w:t>augu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aizsardzības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līdzekļu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(</w:t>
      </w:r>
      <w:proofErr w:type="spellStart"/>
      <w:r w:rsidRPr="00E52D15">
        <w:rPr>
          <w:rFonts w:ascii="Times New Roman" w:hAnsi="Times New Roman" w:cs="Times New Roman"/>
          <w:bCs/>
          <w:iCs/>
        </w:rPr>
        <w:t>turpmāk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– AAL) </w:t>
      </w:r>
      <w:proofErr w:type="spellStart"/>
      <w:r w:rsidRPr="00E52D15">
        <w:rPr>
          <w:rFonts w:ascii="Times New Roman" w:hAnsi="Times New Roman" w:cs="Times New Roman"/>
          <w:bCs/>
          <w:iCs/>
        </w:rPr>
        <w:t>lietošana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rada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cilvēka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veselībai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un </w:t>
      </w:r>
      <w:proofErr w:type="spellStart"/>
      <w:r w:rsidRPr="00E52D15">
        <w:rPr>
          <w:rFonts w:ascii="Times New Roman" w:hAnsi="Times New Roman" w:cs="Times New Roman"/>
          <w:bCs/>
          <w:iCs/>
        </w:rPr>
        <w:t>videi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un, </w:t>
      </w:r>
      <w:proofErr w:type="spellStart"/>
      <w:r w:rsidRPr="00E52D15">
        <w:rPr>
          <w:rFonts w:ascii="Times New Roman" w:hAnsi="Times New Roman" w:cs="Times New Roman"/>
          <w:bCs/>
          <w:iCs/>
        </w:rPr>
        <w:t>lai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samazinātu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atkarību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no </w:t>
      </w:r>
      <w:r w:rsidR="009F250E" w:rsidRPr="00E52D15">
        <w:rPr>
          <w:rFonts w:ascii="Times New Roman" w:hAnsi="Times New Roman" w:cs="Times New Roman"/>
          <w:bCs/>
          <w:iCs/>
        </w:rPr>
        <w:t>AAL</w:t>
      </w:r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lietošanas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E52D15">
        <w:rPr>
          <w:rFonts w:ascii="Times New Roman" w:hAnsi="Times New Roman" w:cs="Times New Roman"/>
          <w:bCs/>
          <w:iCs/>
        </w:rPr>
        <w:t>veicināt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integrētās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augu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aizsardzības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un </w:t>
      </w:r>
      <w:proofErr w:type="spellStart"/>
      <w:r w:rsidRPr="00E52D15">
        <w:rPr>
          <w:rFonts w:ascii="Times New Roman" w:hAnsi="Times New Roman" w:cs="Times New Roman"/>
          <w:bCs/>
          <w:iCs/>
        </w:rPr>
        <w:t>alternatīvu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pieeju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vai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paņēmienu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izmantošanu</w:t>
      </w:r>
      <w:proofErr w:type="spellEnd"/>
      <w:r w:rsidRPr="00E52D15">
        <w:rPr>
          <w:rFonts w:ascii="Times New Roman" w:hAnsi="Times New Roman" w:cs="Times New Roman"/>
          <w:bCs/>
          <w:iCs/>
        </w:rPr>
        <w:t>.</w:t>
      </w:r>
    </w:p>
    <w:p w14:paraId="734A3D73" w14:textId="77777777" w:rsidR="009F250E" w:rsidRPr="00E52D15" w:rsidRDefault="009F250E" w:rsidP="00086F9F">
      <w:pPr>
        <w:jc w:val="both"/>
        <w:rPr>
          <w:rFonts w:ascii="Times New Roman" w:hAnsi="Times New Roman" w:cs="Times New Roman"/>
          <w:bCs/>
          <w:iCs/>
        </w:rPr>
      </w:pPr>
      <w:r w:rsidRPr="00E52D15">
        <w:rPr>
          <w:rFonts w:ascii="Times New Roman" w:hAnsi="Times New Roman" w:cs="Times New Roman"/>
          <w:bCs/>
          <w:iCs/>
        </w:rPr>
        <w:t xml:space="preserve">Lai </w:t>
      </w:r>
      <w:proofErr w:type="spellStart"/>
      <w:r w:rsidRPr="00E52D15">
        <w:rPr>
          <w:rFonts w:ascii="Times New Roman" w:hAnsi="Times New Roman" w:cs="Times New Roman"/>
          <w:bCs/>
          <w:iCs/>
        </w:rPr>
        <w:t>novērtētu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AAL </w:t>
      </w:r>
      <w:proofErr w:type="spellStart"/>
      <w:r w:rsidRPr="00E52D15">
        <w:rPr>
          <w:rFonts w:ascii="Times New Roman" w:hAnsi="Times New Roman" w:cs="Times New Roman"/>
          <w:bCs/>
          <w:iCs/>
        </w:rPr>
        <w:t>radītu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risku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cilvēku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veselībai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un/</w:t>
      </w:r>
      <w:proofErr w:type="spellStart"/>
      <w:r w:rsidRPr="00E52D15">
        <w:rPr>
          <w:rFonts w:ascii="Times New Roman" w:hAnsi="Times New Roman" w:cs="Times New Roman"/>
          <w:bCs/>
          <w:iCs/>
        </w:rPr>
        <w:t>vai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videi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E52D15">
        <w:rPr>
          <w:rFonts w:ascii="Times New Roman" w:hAnsi="Times New Roman" w:cs="Times New Roman"/>
          <w:bCs/>
          <w:iCs/>
        </w:rPr>
        <w:t>Eiropas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Komisija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ir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izstrādājusi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un </w:t>
      </w:r>
      <w:proofErr w:type="spellStart"/>
      <w:r w:rsidRPr="00E52D15">
        <w:rPr>
          <w:rFonts w:ascii="Times New Roman" w:hAnsi="Times New Roman" w:cs="Times New Roman"/>
          <w:bCs/>
          <w:iCs/>
        </w:rPr>
        <w:t>Direktīvas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2009/128/EK IV </w:t>
      </w:r>
      <w:proofErr w:type="spellStart"/>
      <w:r w:rsidRPr="00E52D15">
        <w:rPr>
          <w:rFonts w:ascii="Times New Roman" w:hAnsi="Times New Roman" w:cs="Times New Roman"/>
          <w:bCs/>
          <w:iCs/>
        </w:rPr>
        <w:t>pielikumā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iekļāvusi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divus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saskaņotos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riska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indikatorus</w:t>
      </w:r>
      <w:proofErr w:type="spellEnd"/>
      <w:r w:rsidRPr="00E52D15">
        <w:rPr>
          <w:rFonts w:ascii="Times New Roman" w:hAnsi="Times New Roman" w:cs="Times New Roman"/>
          <w:bCs/>
          <w:iCs/>
        </w:rPr>
        <w:t>:</w:t>
      </w:r>
    </w:p>
    <w:p w14:paraId="02244F41" w14:textId="77777777" w:rsidR="009F250E" w:rsidRPr="00E52D15" w:rsidRDefault="009F250E" w:rsidP="009F250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</w:rPr>
      </w:pPr>
      <w:proofErr w:type="spellStart"/>
      <w:r w:rsidRPr="00E52D15">
        <w:rPr>
          <w:rFonts w:ascii="Times New Roman" w:hAnsi="Times New Roman" w:cs="Times New Roman"/>
          <w:bCs/>
          <w:iCs/>
        </w:rPr>
        <w:t>Saskaņotais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riska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indikators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Nr. 1: </w:t>
      </w:r>
      <w:proofErr w:type="spellStart"/>
      <w:r w:rsidRPr="00E52D15">
        <w:rPr>
          <w:rFonts w:ascii="Times New Roman" w:hAnsi="Times New Roman" w:cs="Times New Roman"/>
          <w:bCs/>
          <w:iCs/>
        </w:rPr>
        <w:t>uz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bīstamību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balstīts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saskaņots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riska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indikators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E52D15">
        <w:rPr>
          <w:rFonts w:ascii="Times New Roman" w:hAnsi="Times New Roman" w:cs="Times New Roman"/>
          <w:bCs/>
          <w:iCs/>
        </w:rPr>
        <w:t>kura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pamatā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ir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augu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aizsardzības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līdzekļos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uz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Regulas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(EK) Nr. 1107/2009 </w:t>
      </w:r>
      <w:proofErr w:type="spellStart"/>
      <w:r w:rsidRPr="00E52D15">
        <w:rPr>
          <w:rFonts w:ascii="Times New Roman" w:hAnsi="Times New Roman" w:cs="Times New Roman"/>
          <w:bCs/>
          <w:iCs/>
        </w:rPr>
        <w:t>pamata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tirgū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laisto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darbīgo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vielu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daudzum</w:t>
      </w:r>
      <w:r w:rsidR="00580F04" w:rsidRPr="00E52D15">
        <w:rPr>
          <w:rFonts w:ascii="Times New Roman" w:hAnsi="Times New Roman" w:cs="Times New Roman"/>
          <w:bCs/>
          <w:iCs/>
        </w:rPr>
        <w:t>i</w:t>
      </w:r>
      <w:proofErr w:type="spellEnd"/>
      <w:r w:rsidR="00580F04" w:rsidRPr="00E52D15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="007B6B16" w:rsidRPr="00E52D15">
        <w:rPr>
          <w:rFonts w:ascii="Times New Roman" w:hAnsi="Times New Roman" w:cs="Times New Roman"/>
          <w:bCs/>
          <w:iCs/>
        </w:rPr>
        <w:t>kurus</w:t>
      </w:r>
      <w:proofErr w:type="spellEnd"/>
      <w:r w:rsidR="00580F04"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580F04" w:rsidRPr="00E52D15">
        <w:rPr>
          <w:rFonts w:ascii="Times New Roman" w:hAnsi="Times New Roman" w:cs="Times New Roman"/>
          <w:bCs/>
          <w:iCs/>
        </w:rPr>
        <w:t>dalībvalstis</w:t>
      </w:r>
      <w:proofErr w:type="spellEnd"/>
      <w:r w:rsidR="007B6B16"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7B6B16" w:rsidRPr="00E52D15">
        <w:rPr>
          <w:rFonts w:ascii="Times New Roman" w:hAnsi="Times New Roman" w:cs="Times New Roman"/>
          <w:bCs/>
          <w:iCs/>
        </w:rPr>
        <w:t>apkopo</w:t>
      </w:r>
      <w:proofErr w:type="spellEnd"/>
      <w:r w:rsidR="007B6B16"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7B6B16" w:rsidRPr="00E52D15">
        <w:rPr>
          <w:rFonts w:ascii="Times New Roman" w:hAnsi="Times New Roman" w:cs="Times New Roman"/>
          <w:bCs/>
          <w:iCs/>
        </w:rPr>
        <w:t>atbilstoši</w:t>
      </w:r>
      <w:proofErr w:type="spellEnd"/>
      <w:r w:rsidR="007B6B16"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7B6B16" w:rsidRPr="00E52D15">
        <w:rPr>
          <w:rFonts w:ascii="Times New Roman" w:hAnsi="Times New Roman" w:cs="Times New Roman"/>
          <w:bCs/>
          <w:iCs/>
        </w:rPr>
        <w:t>Eiropas</w:t>
      </w:r>
      <w:proofErr w:type="spellEnd"/>
      <w:r w:rsidR="007B6B16"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7B6B16" w:rsidRPr="00E52D15">
        <w:rPr>
          <w:rFonts w:ascii="Times New Roman" w:hAnsi="Times New Roman" w:cs="Times New Roman"/>
          <w:bCs/>
          <w:iCs/>
        </w:rPr>
        <w:t>Parlamenta</w:t>
      </w:r>
      <w:proofErr w:type="spellEnd"/>
      <w:r w:rsidR="007B6B16" w:rsidRPr="00E52D15">
        <w:rPr>
          <w:rFonts w:ascii="Times New Roman" w:hAnsi="Times New Roman" w:cs="Times New Roman"/>
          <w:bCs/>
          <w:iCs/>
        </w:rPr>
        <w:t xml:space="preserve"> un </w:t>
      </w:r>
      <w:proofErr w:type="spellStart"/>
      <w:r w:rsidR="007B6B16" w:rsidRPr="00E52D15">
        <w:rPr>
          <w:rFonts w:ascii="Times New Roman" w:hAnsi="Times New Roman" w:cs="Times New Roman"/>
          <w:bCs/>
          <w:iCs/>
        </w:rPr>
        <w:t>Padomes</w:t>
      </w:r>
      <w:proofErr w:type="spellEnd"/>
      <w:r w:rsidR="007B6B16"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7B6B16" w:rsidRPr="00E52D15">
        <w:rPr>
          <w:rFonts w:ascii="Times New Roman" w:hAnsi="Times New Roman" w:cs="Times New Roman"/>
          <w:bCs/>
          <w:iCs/>
        </w:rPr>
        <w:t>Regulā</w:t>
      </w:r>
      <w:proofErr w:type="spellEnd"/>
      <w:r w:rsidR="007B6B16" w:rsidRPr="00E52D15">
        <w:rPr>
          <w:rFonts w:ascii="Times New Roman" w:hAnsi="Times New Roman" w:cs="Times New Roman"/>
          <w:bCs/>
          <w:iCs/>
        </w:rPr>
        <w:t xml:space="preserve"> (EK) Nr.</w:t>
      </w:r>
      <w:r w:rsidR="007B6B16" w:rsidRPr="00E52D15">
        <w:t xml:space="preserve"> </w:t>
      </w:r>
      <w:r w:rsidR="007B6B16" w:rsidRPr="00E52D15">
        <w:rPr>
          <w:rFonts w:ascii="Times New Roman" w:hAnsi="Times New Roman" w:cs="Times New Roman"/>
          <w:bCs/>
          <w:iCs/>
        </w:rPr>
        <w:t>1185/2009</w:t>
      </w:r>
      <w:r w:rsidR="007B6B16" w:rsidRPr="00E52D15">
        <w:t xml:space="preserve"> </w:t>
      </w:r>
      <w:proofErr w:type="spellStart"/>
      <w:r w:rsidR="007B6B16" w:rsidRPr="00E52D15">
        <w:rPr>
          <w:rFonts w:ascii="Times New Roman" w:hAnsi="Times New Roman" w:cs="Times New Roman"/>
          <w:bCs/>
          <w:iCs/>
        </w:rPr>
        <w:t>attiecībā</w:t>
      </w:r>
      <w:proofErr w:type="spellEnd"/>
      <w:r w:rsidR="007B6B16"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7B6B16" w:rsidRPr="00E52D15">
        <w:rPr>
          <w:rFonts w:ascii="Times New Roman" w:hAnsi="Times New Roman" w:cs="Times New Roman"/>
          <w:bCs/>
          <w:iCs/>
        </w:rPr>
        <w:t>uz</w:t>
      </w:r>
      <w:proofErr w:type="spellEnd"/>
      <w:r w:rsidR="007B6B16"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7B6B16" w:rsidRPr="00E52D15">
        <w:rPr>
          <w:rFonts w:ascii="Times New Roman" w:hAnsi="Times New Roman" w:cs="Times New Roman"/>
          <w:bCs/>
          <w:iCs/>
        </w:rPr>
        <w:t>statistiku</w:t>
      </w:r>
      <w:proofErr w:type="spellEnd"/>
      <w:r w:rsidR="007B6B16" w:rsidRPr="00E52D15">
        <w:rPr>
          <w:rFonts w:ascii="Times New Roman" w:hAnsi="Times New Roman" w:cs="Times New Roman"/>
          <w:bCs/>
          <w:iCs/>
        </w:rPr>
        <w:t xml:space="preserve"> par </w:t>
      </w:r>
      <w:proofErr w:type="spellStart"/>
      <w:r w:rsidR="007B6B16" w:rsidRPr="00E52D15">
        <w:rPr>
          <w:rFonts w:ascii="Times New Roman" w:hAnsi="Times New Roman" w:cs="Times New Roman"/>
          <w:bCs/>
          <w:iCs/>
        </w:rPr>
        <w:t>pesticīdiem</w:t>
      </w:r>
      <w:proofErr w:type="spellEnd"/>
      <w:r w:rsidR="007B6B16"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7B6B16" w:rsidRPr="00E52D15">
        <w:rPr>
          <w:rFonts w:ascii="Times New Roman" w:hAnsi="Times New Roman" w:cs="Times New Roman"/>
          <w:bCs/>
          <w:iCs/>
        </w:rPr>
        <w:t>noteiktajai</w:t>
      </w:r>
      <w:proofErr w:type="spellEnd"/>
      <w:r w:rsidR="007B6B16"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7B6B16" w:rsidRPr="00E52D15">
        <w:rPr>
          <w:rFonts w:ascii="Times New Roman" w:hAnsi="Times New Roman" w:cs="Times New Roman"/>
          <w:bCs/>
          <w:iCs/>
        </w:rPr>
        <w:t>kārtībai</w:t>
      </w:r>
      <w:proofErr w:type="spellEnd"/>
      <w:r w:rsidR="007B6B16" w:rsidRPr="00E52D15">
        <w:rPr>
          <w:rFonts w:ascii="Times New Roman" w:hAnsi="Times New Roman" w:cs="Times New Roman"/>
          <w:bCs/>
          <w:iCs/>
        </w:rPr>
        <w:t xml:space="preserve">. </w:t>
      </w:r>
    </w:p>
    <w:p w14:paraId="4601286F" w14:textId="77777777" w:rsidR="00580F04" w:rsidRPr="00E52D15" w:rsidRDefault="00580F04" w:rsidP="00580F04">
      <w:pPr>
        <w:pStyle w:val="ListParagraph"/>
        <w:jc w:val="both"/>
        <w:rPr>
          <w:rFonts w:ascii="Times New Roman" w:hAnsi="Times New Roman" w:cs="Times New Roman"/>
          <w:bCs/>
          <w:iCs/>
        </w:rPr>
      </w:pPr>
    </w:p>
    <w:p w14:paraId="35791088" w14:textId="77777777" w:rsidR="009F250E" w:rsidRPr="00E52D15" w:rsidRDefault="009F250E" w:rsidP="009F250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</w:rPr>
      </w:pPr>
      <w:proofErr w:type="spellStart"/>
      <w:r w:rsidRPr="00E52D15">
        <w:rPr>
          <w:rFonts w:ascii="Times New Roman" w:hAnsi="Times New Roman" w:cs="Times New Roman"/>
          <w:bCs/>
          <w:iCs/>
        </w:rPr>
        <w:t>Saskaņotais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riska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indikators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Nr. 2: </w:t>
      </w:r>
      <w:proofErr w:type="spellStart"/>
      <w:r w:rsidRPr="00E52D15">
        <w:rPr>
          <w:rFonts w:ascii="Times New Roman" w:hAnsi="Times New Roman" w:cs="Times New Roman"/>
          <w:bCs/>
          <w:iCs/>
        </w:rPr>
        <w:t>saskaņots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riska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indikators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E52D15">
        <w:rPr>
          <w:rFonts w:ascii="Times New Roman" w:hAnsi="Times New Roman" w:cs="Times New Roman"/>
          <w:bCs/>
          <w:iCs/>
        </w:rPr>
        <w:t>kura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pamatā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ir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uz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Regulas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(EK) Nr. 1107/2009 53. </w:t>
      </w:r>
      <w:proofErr w:type="spellStart"/>
      <w:r w:rsidRPr="00E52D15">
        <w:rPr>
          <w:rFonts w:ascii="Times New Roman" w:hAnsi="Times New Roman" w:cs="Times New Roman"/>
          <w:bCs/>
          <w:iCs/>
        </w:rPr>
        <w:t>panta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pamata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piešķirto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atļauju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skaits</w:t>
      </w:r>
      <w:proofErr w:type="spellEnd"/>
      <w:r w:rsidR="00580F04" w:rsidRPr="00E52D15">
        <w:rPr>
          <w:rFonts w:ascii="Times New Roman" w:hAnsi="Times New Roman" w:cs="Times New Roman"/>
          <w:bCs/>
          <w:iCs/>
        </w:rPr>
        <w:t>.</w:t>
      </w:r>
    </w:p>
    <w:p w14:paraId="007BF299" w14:textId="77777777" w:rsidR="00580F04" w:rsidRPr="00E52D15" w:rsidRDefault="00580F04" w:rsidP="00580F04">
      <w:pPr>
        <w:jc w:val="both"/>
        <w:rPr>
          <w:rFonts w:ascii="Times New Roman" w:hAnsi="Times New Roman" w:cs="Times New Roman"/>
          <w:bCs/>
          <w:iCs/>
        </w:rPr>
      </w:pPr>
      <w:proofErr w:type="spellStart"/>
      <w:r w:rsidRPr="00E52D15">
        <w:rPr>
          <w:rFonts w:ascii="Times New Roman" w:hAnsi="Times New Roman" w:cs="Times New Roman"/>
          <w:bCs/>
          <w:iCs/>
        </w:rPr>
        <w:t>Saskaņoto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riska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indikatoru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bāzlīnija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ir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100, un </w:t>
      </w:r>
      <w:proofErr w:type="spellStart"/>
      <w:r w:rsidRPr="00E52D15">
        <w:rPr>
          <w:rFonts w:ascii="Times New Roman" w:hAnsi="Times New Roman" w:cs="Times New Roman"/>
          <w:bCs/>
          <w:iCs/>
        </w:rPr>
        <w:t>tā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ir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vienāda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ar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vidējo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rādītāju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laika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posmā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no 2011. </w:t>
      </w:r>
      <w:proofErr w:type="spellStart"/>
      <w:r w:rsidRPr="00E52D15">
        <w:rPr>
          <w:rFonts w:ascii="Times New Roman" w:hAnsi="Times New Roman" w:cs="Times New Roman"/>
          <w:bCs/>
          <w:iCs/>
        </w:rPr>
        <w:t>līdz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2013. </w:t>
      </w:r>
      <w:proofErr w:type="spellStart"/>
      <w:r w:rsidRPr="00E52D15">
        <w:rPr>
          <w:rFonts w:ascii="Times New Roman" w:hAnsi="Times New Roman" w:cs="Times New Roman"/>
          <w:bCs/>
          <w:iCs/>
        </w:rPr>
        <w:t>gadam</w:t>
      </w:r>
      <w:proofErr w:type="spellEnd"/>
      <w:r w:rsidRPr="00E52D15">
        <w:rPr>
          <w:rFonts w:ascii="Times New Roman" w:hAnsi="Times New Roman" w:cs="Times New Roman"/>
          <w:bCs/>
          <w:iCs/>
        </w:rPr>
        <w:t>.</w:t>
      </w:r>
    </w:p>
    <w:p w14:paraId="2E168C1C" w14:textId="77777777" w:rsidR="009C2E96" w:rsidRPr="00E52D15" w:rsidRDefault="009C2E96" w:rsidP="009C2E96">
      <w:pPr>
        <w:jc w:val="both"/>
        <w:rPr>
          <w:rFonts w:ascii="Times New Roman" w:hAnsi="Times New Roman" w:cs="Times New Roman"/>
          <w:bCs/>
          <w:iCs/>
        </w:rPr>
      </w:pPr>
      <w:proofErr w:type="spellStart"/>
      <w:r w:rsidRPr="00E52D15">
        <w:rPr>
          <w:rFonts w:ascii="Times New Roman" w:hAnsi="Times New Roman" w:cs="Times New Roman"/>
          <w:bCs/>
          <w:iCs/>
        </w:rPr>
        <w:t>Saskaņoto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riska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indikatoru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aprēķinu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metodika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plašāk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izklāstīta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hyperlink r:id="rId7" w:history="1">
        <w:proofErr w:type="spellStart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>Ministru</w:t>
        </w:r>
        <w:proofErr w:type="spellEnd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 xml:space="preserve"> </w:t>
        </w:r>
        <w:proofErr w:type="spellStart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>kabineta</w:t>
        </w:r>
        <w:proofErr w:type="spellEnd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 xml:space="preserve"> 2009.gada 15.septembra </w:t>
        </w:r>
        <w:proofErr w:type="spellStart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>noteikumu</w:t>
        </w:r>
        <w:proofErr w:type="spellEnd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 xml:space="preserve"> Nr.1056 “</w:t>
        </w:r>
        <w:proofErr w:type="spellStart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>Lauksaimniecības</w:t>
        </w:r>
        <w:proofErr w:type="spellEnd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 xml:space="preserve"> </w:t>
        </w:r>
        <w:proofErr w:type="spellStart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>produktu</w:t>
        </w:r>
        <w:proofErr w:type="spellEnd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 xml:space="preserve"> </w:t>
        </w:r>
        <w:proofErr w:type="spellStart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>integrētās</w:t>
        </w:r>
        <w:proofErr w:type="spellEnd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 xml:space="preserve"> </w:t>
        </w:r>
        <w:proofErr w:type="spellStart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>audzēšanas</w:t>
        </w:r>
        <w:proofErr w:type="spellEnd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 xml:space="preserve">, </w:t>
        </w:r>
        <w:proofErr w:type="spellStart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>uzglabāšanas</w:t>
        </w:r>
        <w:proofErr w:type="spellEnd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 xml:space="preserve"> un </w:t>
        </w:r>
        <w:proofErr w:type="spellStart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>marķēšanas</w:t>
        </w:r>
        <w:proofErr w:type="spellEnd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 xml:space="preserve"> </w:t>
        </w:r>
        <w:proofErr w:type="spellStart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>prasības</w:t>
        </w:r>
        <w:proofErr w:type="spellEnd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 xml:space="preserve"> un </w:t>
        </w:r>
        <w:proofErr w:type="spellStart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>kontroles</w:t>
        </w:r>
        <w:proofErr w:type="spellEnd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 xml:space="preserve"> </w:t>
        </w:r>
        <w:proofErr w:type="spellStart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>kārtība</w:t>
        </w:r>
        <w:proofErr w:type="spellEnd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>” 2.</w:t>
        </w:r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  <w:vertAlign w:val="superscript"/>
          </w:rPr>
          <w:t>1</w:t>
        </w:r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 xml:space="preserve"> </w:t>
        </w:r>
        <w:proofErr w:type="spellStart"/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>pielikumā</w:t>
        </w:r>
        <w:proofErr w:type="spellEnd"/>
      </w:hyperlink>
      <w:r w:rsidRPr="00E52D15">
        <w:rPr>
          <w:rFonts w:ascii="Times New Roman" w:hAnsi="Times New Roman" w:cs="Times New Roman"/>
          <w:bCs/>
          <w:iCs/>
        </w:rPr>
        <w:t>.</w:t>
      </w:r>
    </w:p>
    <w:p w14:paraId="3209CE50" w14:textId="77777777" w:rsidR="00580F04" w:rsidRPr="00E52D15" w:rsidRDefault="00580F04" w:rsidP="00580F04">
      <w:pPr>
        <w:jc w:val="both"/>
        <w:rPr>
          <w:rFonts w:ascii="Times New Roman" w:hAnsi="Times New Roman" w:cs="Times New Roman"/>
          <w:bCs/>
          <w:iCs/>
        </w:rPr>
      </w:pPr>
      <w:proofErr w:type="spellStart"/>
      <w:r w:rsidRPr="00E52D15">
        <w:rPr>
          <w:rFonts w:ascii="Times New Roman" w:hAnsi="Times New Roman" w:cs="Times New Roman"/>
          <w:bCs/>
          <w:iCs/>
        </w:rPr>
        <w:t>Nacionālā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līmenī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saskaņotos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riska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indikatorus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aprēķina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un </w:t>
      </w:r>
      <w:proofErr w:type="spellStart"/>
      <w:r w:rsidRPr="00E52D15">
        <w:rPr>
          <w:rFonts w:ascii="Times New Roman" w:hAnsi="Times New Roman" w:cs="Times New Roman"/>
          <w:bCs/>
          <w:iCs/>
        </w:rPr>
        <w:t>publicē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dalībvalstis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E52D15">
        <w:rPr>
          <w:rFonts w:ascii="Times New Roman" w:hAnsi="Times New Roman" w:cs="Times New Roman"/>
          <w:bCs/>
          <w:iCs/>
        </w:rPr>
        <w:t>savukārt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Eiropas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Savienības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kopējie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rādītāji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ir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pieejami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Eiropas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Komisijas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mājas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lapā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hyperlink r:id="rId8" w:history="1">
        <w:r w:rsidRPr="00E52D15">
          <w:rPr>
            <w:rStyle w:val="Hyperlink"/>
            <w:rFonts w:ascii="Times New Roman" w:hAnsi="Times New Roman" w:cs="Times New Roman"/>
            <w:bCs/>
            <w:iCs/>
            <w:color w:val="auto"/>
          </w:rPr>
          <w:t>https://ec.europa.eu/food/plant/pesticides/sustainable_use_pesticides/harmonised-risk-indicators/trends-hri-eu_en</w:t>
        </w:r>
      </w:hyperlink>
      <w:r w:rsidRPr="00E52D15">
        <w:rPr>
          <w:rFonts w:ascii="Times New Roman" w:hAnsi="Times New Roman" w:cs="Times New Roman"/>
          <w:bCs/>
          <w:iCs/>
        </w:rPr>
        <w:t xml:space="preserve">.  </w:t>
      </w:r>
    </w:p>
    <w:p w14:paraId="3D3CA49F" w14:textId="77777777" w:rsidR="009C2E96" w:rsidRPr="00E52D15" w:rsidRDefault="00F12E17" w:rsidP="00580F04">
      <w:pPr>
        <w:jc w:val="both"/>
        <w:rPr>
          <w:rFonts w:ascii="Times New Roman" w:hAnsi="Times New Roman" w:cs="Times New Roman"/>
          <w:bCs/>
          <w:iCs/>
        </w:rPr>
      </w:pPr>
      <w:proofErr w:type="spellStart"/>
      <w:r w:rsidRPr="00E52D15">
        <w:rPr>
          <w:rFonts w:ascii="Times New Roman" w:hAnsi="Times New Roman" w:cs="Times New Roman"/>
          <w:bCs/>
          <w:iCs/>
        </w:rPr>
        <w:t>Šobrīd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izstrādātie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riska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indikatori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ir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pirmais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Eiropas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Savienības</w:t>
      </w:r>
      <w:proofErr w:type="spellEnd"/>
      <w:r w:rsidR="0072764F" w:rsidRPr="00E52D15">
        <w:rPr>
          <w:rFonts w:ascii="Times New Roman" w:hAnsi="Times New Roman" w:cs="Times New Roman"/>
          <w:bCs/>
          <w:iCs/>
        </w:rPr>
        <w:t xml:space="preserve"> (ES)</w:t>
      </w:r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mēroga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mēģinājums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novērtēt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ar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AAL </w:t>
      </w:r>
      <w:proofErr w:type="spellStart"/>
      <w:r w:rsidRPr="00E52D15">
        <w:rPr>
          <w:rFonts w:ascii="Times New Roman" w:hAnsi="Times New Roman" w:cs="Times New Roman"/>
          <w:bCs/>
          <w:iCs/>
        </w:rPr>
        <w:t>lietošanu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saistītos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riskus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E52D15">
        <w:rPr>
          <w:rFonts w:ascii="Times New Roman" w:hAnsi="Times New Roman" w:cs="Times New Roman"/>
          <w:bCs/>
          <w:iCs/>
        </w:rPr>
        <w:t>Līdz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šim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nav </w:t>
      </w:r>
      <w:proofErr w:type="spellStart"/>
      <w:r w:rsidRPr="00E52D15">
        <w:rPr>
          <w:rFonts w:ascii="Times New Roman" w:hAnsi="Times New Roman" w:cs="Times New Roman"/>
          <w:bCs/>
          <w:iCs/>
        </w:rPr>
        <w:t>bijusi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saskaņota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r w:rsidR="0072764F" w:rsidRPr="00E52D15">
        <w:rPr>
          <w:rFonts w:ascii="Times New Roman" w:hAnsi="Times New Roman" w:cs="Times New Roman"/>
          <w:bCs/>
          <w:iCs/>
        </w:rPr>
        <w:t>ES</w:t>
      </w:r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līmeņa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pieeja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Regulā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(EK) Nr. 1185/2009 </w:t>
      </w:r>
      <w:proofErr w:type="spellStart"/>
      <w:r w:rsidRPr="00E52D15">
        <w:rPr>
          <w:rFonts w:ascii="Times New Roman" w:hAnsi="Times New Roman" w:cs="Times New Roman"/>
          <w:bCs/>
          <w:iCs/>
        </w:rPr>
        <w:t>paredzētās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statistikas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vākšanai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par </w:t>
      </w:r>
      <w:proofErr w:type="spellStart"/>
      <w:r w:rsidRPr="00E52D15">
        <w:rPr>
          <w:rFonts w:ascii="Times New Roman" w:hAnsi="Times New Roman" w:cs="Times New Roman"/>
          <w:bCs/>
          <w:iCs/>
        </w:rPr>
        <w:t>augu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aizsardzības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līdzekļu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lietošanu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E52D15">
        <w:rPr>
          <w:rFonts w:ascii="Times New Roman" w:hAnsi="Times New Roman" w:cs="Times New Roman"/>
          <w:bCs/>
          <w:iCs/>
        </w:rPr>
        <w:t>tāpēc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šādi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dati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nav </w:t>
      </w:r>
      <w:proofErr w:type="spellStart"/>
      <w:r w:rsidRPr="00E52D15">
        <w:rPr>
          <w:rFonts w:ascii="Times New Roman" w:hAnsi="Times New Roman" w:cs="Times New Roman"/>
          <w:bCs/>
          <w:iCs/>
        </w:rPr>
        <w:t>pieejami</w:t>
      </w:r>
      <w:proofErr w:type="spellEnd"/>
      <w:r w:rsidR="00BF6643" w:rsidRPr="00E52D15">
        <w:rPr>
          <w:rFonts w:ascii="Times New Roman" w:hAnsi="Times New Roman" w:cs="Times New Roman"/>
          <w:bCs/>
          <w:iCs/>
        </w:rPr>
        <w:t xml:space="preserve"> un</w:t>
      </w:r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aprēķinā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BF6643" w:rsidRPr="00E52D15">
        <w:rPr>
          <w:rFonts w:ascii="Times New Roman" w:hAnsi="Times New Roman" w:cs="Times New Roman"/>
          <w:bCs/>
          <w:iCs/>
        </w:rPr>
        <w:t>tiek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izmantota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informācija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par AAL </w:t>
      </w:r>
      <w:proofErr w:type="spellStart"/>
      <w:r w:rsidRPr="00E52D15">
        <w:rPr>
          <w:rFonts w:ascii="Times New Roman" w:hAnsi="Times New Roman" w:cs="Times New Roman"/>
          <w:bCs/>
          <w:iCs/>
        </w:rPr>
        <w:t>izplatītajiem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apjomiem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E52D15">
        <w:rPr>
          <w:rFonts w:ascii="Times New Roman" w:hAnsi="Times New Roman" w:cs="Times New Roman"/>
          <w:bCs/>
          <w:iCs/>
        </w:rPr>
        <w:t>Eiropas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Komisija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ir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plāno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turpināt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darbu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pie </w:t>
      </w:r>
      <w:proofErr w:type="spellStart"/>
      <w:r w:rsidRPr="00E52D15">
        <w:rPr>
          <w:rFonts w:ascii="Times New Roman" w:hAnsi="Times New Roman" w:cs="Times New Roman"/>
          <w:bCs/>
          <w:iCs/>
        </w:rPr>
        <w:t>saskaņoto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riska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indikatoru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Nr.1 un Nr. 2 </w:t>
      </w:r>
      <w:proofErr w:type="spellStart"/>
      <w:r w:rsidRPr="00E52D15">
        <w:rPr>
          <w:rFonts w:ascii="Times New Roman" w:hAnsi="Times New Roman" w:cs="Times New Roman"/>
          <w:bCs/>
          <w:iCs/>
        </w:rPr>
        <w:t>pilnveides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un, </w:t>
      </w:r>
      <w:proofErr w:type="spellStart"/>
      <w:r w:rsidRPr="00E52D15">
        <w:rPr>
          <w:rFonts w:ascii="Times New Roman" w:hAnsi="Times New Roman" w:cs="Times New Roman"/>
          <w:bCs/>
          <w:iCs/>
        </w:rPr>
        <w:t>ja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nepieciešams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E52D15">
        <w:rPr>
          <w:rFonts w:ascii="Times New Roman" w:hAnsi="Times New Roman" w:cs="Times New Roman"/>
          <w:bCs/>
          <w:iCs/>
        </w:rPr>
        <w:t>izstrādāt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jaunus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iCs/>
        </w:rPr>
        <w:t>indikatorus</w:t>
      </w:r>
      <w:proofErr w:type="spellEnd"/>
      <w:r w:rsidRPr="00E52D15">
        <w:rPr>
          <w:rFonts w:ascii="Times New Roman" w:hAnsi="Times New Roman" w:cs="Times New Roman"/>
          <w:bCs/>
          <w:iCs/>
        </w:rPr>
        <w:t xml:space="preserve">. </w:t>
      </w:r>
    </w:p>
    <w:p w14:paraId="5A8449E1" w14:textId="77777777" w:rsidR="00F12E17" w:rsidRPr="00E52D15" w:rsidRDefault="00F12E17" w:rsidP="009C2E96">
      <w:pPr>
        <w:jc w:val="both"/>
        <w:rPr>
          <w:rFonts w:ascii="Times New Roman" w:hAnsi="Times New Roman" w:cs="Times New Roman"/>
          <w:b/>
          <w:iCs/>
        </w:rPr>
      </w:pPr>
      <w:proofErr w:type="spellStart"/>
      <w:r w:rsidRPr="00E52D15">
        <w:rPr>
          <w:rFonts w:ascii="Times New Roman" w:hAnsi="Times New Roman" w:cs="Times New Roman"/>
          <w:b/>
          <w:iCs/>
        </w:rPr>
        <w:t>Situācija</w:t>
      </w:r>
      <w:proofErr w:type="spellEnd"/>
      <w:r w:rsidRPr="00E52D15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iCs/>
        </w:rPr>
        <w:t>Latvijā</w:t>
      </w:r>
      <w:proofErr w:type="spellEnd"/>
    </w:p>
    <w:p w14:paraId="2013244B" w14:textId="77777777" w:rsidR="004C64C0" w:rsidRPr="00E52D15" w:rsidRDefault="004C64C0" w:rsidP="009C2E96">
      <w:pPr>
        <w:jc w:val="both"/>
        <w:rPr>
          <w:rFonts w:ascii="Times New Roman" w:hAnsi="Times New Roman" w:cs="Times New Roman"/>
          <w:iCs/>
          <w:u w:val="single"/>
        </w:rPr>
      </w:pPr>
      <w:proofErr w:type="spellStart"/>
      <w:r w:rsidRPr="00E52D15">
        <w:rPr>
          <w:rFonts w:ascii="Times New Roman" w:hAnsi="Times New Roman" w:cs="Times New Roman"/>
          <w:sz w:val="24"/>
          <w:szCs w:val="24"/>
          <w:u w:val="single"/>
        </w:rPr>
        <w:t>Saskaņotais</w:t>
      </w:r>
      <w:proofErr w:type="spellEnd"/>
      <w:r w:rsidRPr="00E52D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  <w:u w:val="single"/>
        </w:rPr>
        <w:t>riska</w:t>
      </w:r>
      <w:proofErr w:type="spellEnd"/>
      <w:r w:rsidRPr="00E52D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  <w:u w:val="single"/>
        </w:rPr>
        <w:t>indikators</w:t>
      </w:r>
      <w:proofErr w:type="spellEnd"/>
      <w:r w:rsidRPr="00E52D15">
        <w:rPr>
          <w:rFonts w:ascii="Times New Roman" w:hAnsi="Times New Roman" w:cs="Times New Roman"/>
          <w:sz w:val="24"/>
          <w:szCs w:val="24"/>
          <w:u w:val="single"/>
        </w:rPr>
        <w:t xml:space="preserve"> Nr.1</w:t>
      </w:r>
    </w:p>
    <w:p w14:paraId="196405C6" w14:textId="52F65BD7" w:rsidR="00B44342" w:rsidRDefault="00B44342" w:rsidP="009C2E96">
      <w:pPr>
        <w:jc w:val="both"/>
        <w:rPr>
          <w:rFonts w:ascii="Times New Roman" w:hAnsi="Times New Roman" w:cs="Times New Roman"/>
          <w:bCs/>
          <w:iCs/>
        </w:rPr>
      </w:pPr>
      <w:proofErr w:type="spellStart"/>
      <w:r w:rsidRPr="00C06EAC">
        <w:rPr>
          <w:rFonts w:ascii="Times New Roman" w:hAnsi="Times New Roman" w:cs="Times New Roman"/>
          <w:bCs/>
          <w:iCs/>
        </w:rPr>
        <w:t>Salīdzinot</w:t>
      </w:r>
      <w:proofErr w:type="spellEnd"/>
      <w:r w:rsidRPr="00C06EA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06EAC">
        <w:rPr>
          <w:rFonts w:ascii="Times New Roman" w:hAnsi="Times New Roman" w:cs="Times New Roman"/>
          <w:bCs/>
          <w:iCs/>
        </w:rPr>
        <w:t>ar</w:t>
      </w:r>
      <w:proofErr w:type="spellEnd"/>
      <w:r w:rsidRPr="00C06EAC">
        <w:rPr>
          <w:rFonts w:ascii="Times New Roman" w:hAnsi="Times New Roman" w:cs="Times New Roman"/>
          <w:bCs/>
          <w:iCs/>
        </w:rPr>
        <w:t xml:space="preserve"> 2011.-2013.gada </w:t>
      </w:r>
      <w:proofErr w:type="spellStart"/>
      <w:r w:rsidRPr="00C06EAC">
        <w:rPr>
          <w:rFonts w:ascii="Times New Roman" w:hAnsi="Times New Roman" w:cs="Times New Roman"/>
          <w:bCs/>
          <w:iCs/>
        </w:rPr>
        <w:t>vidējo</w:t>
      </w:r>
      <w:proofErr w:type="spellEnd"/>
      <w:r w:rsidRPr="00C06EA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06EAC">
        <w:rPr>
          <w:rFonts w:ascii="Times New Roman" w:hAnsi="Times New Roman" w:cs="Times New Roman"/>
          <w:bCs/>
          <w:iCs/>
        </w:rPr>
        <w:t>rādītāju</w:t>
      </w:r>
      <w:proofErr w:type="spellEnd"/>
      <w:r w:rsidRPr="00C06EAC">
        <w:rPr>
          <w:rFonts w:ascii="Times New Roman" w:hAnsi="Times New Roman" w:cs="Times New Roman"/>
          <w:bCs/>
          <w:iCs/>
        </w:rPr>
        <w:t>, 201</w:t>
      </w:r>
      <w:r w:rsidR="002B291D" w:rsidRPr="00C06EAC">
        <w:rPr>
          <w:rFonts w:ascii="Times New Roman" w:hAnsi="Times New Roman" w:cs="Times New Roman"/>
          <w:bCs/>
          <w:iCs/>
        </w:rPr>
        <w:t>8</w:t>
      </w:r>
      <w:r w:rsidRPr="00C06EAC">
        <w:rPr>
          <w:rFonts w:ascii="Times New Roman" w:hAnsi="Times New Roman" w:cs="Times New Roman"/>
          <w:bCs/>
          <w:iCs/>
        </w:rPr>
        <w:t xml:space="preserve">.gadā </w:t>
      </w:r>
      <w:proofErr w:type="spellStart"/>
      <w:r w:rsidRPr="00C06EAC">
        <w:rPr>
          <w:rFonts w:ascii="Times New Roman" w:hAnsi="Times New Roman" w:cs="Times New Roman"/>
          <w:bCs/>
          <w:iCs/>
        </w:rPr>
        <w:t>saskaņotais</w:t>
      </w:r>
      <w:proofErr w:type="spellEnd"/>
      <w:r w:rsidRPr="00C06EA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06EAC">
        <w:rPr>
          <w:rFonts w:ascii="Times New Roman" w:hAnsi="Times New Roman" w:cs="Times New Roman"/>
          <w:bCs/>
          <w:iCs/>
        </w:rPr>
        <w:t>riska</w:t>
      </w:r>
      <w:proofErr w:type="spellEnd"/>
      <w:r w:rsidRPr="00C06EA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06EAC">
        <w:rPr>
          <w:rFonts w:ascii="Times New Roman" w:hAnsi="Times New Roman" w:cs="Times New Roman"/>
          <w:bCs/>
          <w:iCs/>
        </w:rPr>
        <w:t>indikators</w:t>
      </w:r>
      <w:proofErr w:type="spellEnd"/>
      <w:r w:rsidRPr="00C06EAC">
        <w:rPr>
          <w:rFonts w:ascii="Times New Roman" w:hAnsi="Times New Roman" w:cs="Times New Roman"/>
          <w:bCs/>
          <w:iCs/>
        </w:rPr>
        <w:t xml:space="preserve"> Nr. 1 </w:t>
      </w:r>
      <w:proofErr w:type="spellStart"/>
      <w:r w:rsidRPr="00C06EAC">
        <w:rPr>
          <w:rFonts w:ascii="Times New Roman" w:hAnsi="Times New Roman" w:cs="Times New Roman"/>
          <w:bCs/>
          <w:iCs/>
        </w:rPr>
        <w:t>ir</w:t>
      </w:r>
      <w:proofErr w:type="spellEnd"/>
      <w:r w:rsidRPr="00C06EA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C06EAC">
        <w:rPr>
          <w:rFonts w:ascii="Times New Roman" w:hAnsi="Times New Roman" w:cs="Times New Roman"/>
          <w:bCs/>
          <w:iCs/>
        </w:rPr>
        <w:t>pieaudzis</w:t>
      </w:r>
      <w:proofErr w:type="spellEnd"/>
      <w:r w:rsidRPr="00C06EAC">
        <w:rPr>
          <w:rFonts w:ascii="Times New Roman" w:hAnsi="Times New Roman" w:cs="Times New Roman"/>
          <w:bCs/>
          <w:iCs/>
        </w:rPr>
        <w:t xml:space="preserve"> par </w:t>
      </w:r>
      <w:r w:rsidR="00C06EAC" w:rsidRPr="00C06EAC">
        <w:rPr>
          <w:rFonts w:ascii="Times New Roman" w:hAnsi="Times New Roman" w:cs="Times New Roman"/>
          <w:bCs/>
          <w:iCs/>
        </w:rPr>
        <w:t>40</w:t>
      </w:r>
      <w:r w:rsidRPr="00C06EAC">
        <w:rPr>
          <w:rFonts w:ascii="Times New Roman" w:hAnsi="Times New Roman" w:cs="Times New Roman"/>
          <w:bCs/>
          <w:iCs/>
        </w:rPr>
        <w:t>%.</w:t>
      </w:r>
      <w:r w:rsidRPr="00E52D15">
        <w:rPr>
          <w:rFonts w:ascii="Times New Roman" w:hAnsi="Times New Roman" w:cs="Times New Roman"/>
          <w:bCs/>
          <w:iCs/>
        </w:rPr>
        <w:t xml:space="preserve"> </w:t>
      </w:r>
    </w:p>
    <w:p w14:paraId="2D3E3D12" w14:textId="0B14590C" w:rsidR="0072764F" w:rsidRPr="00E52D15" w:rsidRDefault="0072764F" w:rsidP="007276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Saskaņotā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riska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indikatora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Nr.1 </w:t>
      </w: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dinamika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Latvijā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2011.-201</w:t>
      </w:r>
      <w:r w:rsidR="002B291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52D15">
        <w:rPr>
          <w:rFonts w:ascii="Times New Roman" w:hAnsi="Times New Roman" w:cs="Times New Roman"/>
          <w:b/>
          <w:bCs/>
          <w:sz w:val="24"/>
          <w:szCs w:val="24"/>
        </w:rPr>
        <w:t>.gadā</w:t>
      </w:r>
    </w:p>
    <w:p w14:paraId="47B9A199" w14:textId="339B62FF" w:rsidR="0072764F" w:rsidRDefault="00C06EAC" w:rsidP="006B54C8">
      <w:pPr>
        <w:jc w:val="center"/>
        <w:rPr>
          <w:rFonts w:ascii="Times New Roman" w:hAnsi="Times New Roman" w:cs="Times New Roman"/>
          <w:bCs/>
          <w:iCs/>
        </w:rPr>
      </w:pPr>
      <w:r>
        <w:rPr>
          <w:noProof/>
        </w:rPr>
        <w:drawing>
          <wp:inline distT="0" distB="0" distL="0" distR="0" wp14:anchorId="6B319977" wp14:editId="0C0033B4">
            <wp:extent cx="4666122" cy="2251881"/>
            <wp:effectExtent l="0" t="0" r="1270" b="1524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A8CEB79" w14:textId="77777777" w:rsidR="00C06EAC" w:rsidRDefault="00C06EAC" w:rsidP="00B44342">
      <w:pPr>
        <w:jc w:val="both"/>
        <w:rPr>
          <w:rFonts w:ascii="Times New Roman" w:hAnsi="Times New Roman" w:cs="Times New Roman"/>
          <w:bCs/>
          <w:iCs/>
        </w:rPr>
      </w:pPr>
    </w:p>
    <w:p w14:paraId="414E5FE6" w14:textId="18E6D52D" w:rsidR="0072764F" w:rsidRPr="00E52D15" w:rsidRDefault="009C569F" w:rsidP="00B4434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Klimata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pārmaiņu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rezultātā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pasaulē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tai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skaitā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Latvijā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ziemas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kļūst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maigākas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īsākas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pagarinās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kultūraugu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veģetācijas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sezona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kultūraugu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kaitēkļi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slimības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pavasaros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parādās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agrāk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izplatās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straujāk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Tādēļ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lai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saglabātu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izaudzētās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lauksaimnieciskās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produkcijas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apjomu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kvalitāti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eksportspēju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kultūraugiem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jāpiemēro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gudra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regulāra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augu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aizsardzība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ietver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alternatīvo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ķīmisko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augu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aizsardzības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metožu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kombināciju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Latvijā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visiem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profesionālajiem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lauksaimniekiem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jāievēro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integrētās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augu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aizsardzības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prasības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nosaka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ka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ķīmiskos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augu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aizsardzības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līdzekļus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(AAL)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atļauts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lietot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tikai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gadījumos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citas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alternatīvās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metodes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jau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pielietotas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bet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vēl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aizvien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pastāv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kaitīgo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organismu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apdraudējums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ražai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>.</w:t>
      </w:r>
    </w:p>
    <w:p w14:paraId="76C1D8F6" w14:textId="73FDE6CA" w:rsidR="0072764F" w:rsidRPr="00E52D15" w:rsidRDefault="0072764F" w:rsidP="0072764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Kaut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Latvijā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vērojams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izplatīto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AAL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apjoma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pieaugums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netieši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parāda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AAL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lietošanas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tendences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Latvijā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izplatītais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AAL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apjoms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hektāru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lauksaimniecībā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izmantotās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joprojām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viens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mazākajiem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ES – 0,</w:t>
      </w:r>
      <w:r w:rsidR="002B291D">
        <w:rPr>
          <w:rFonts w:ascii="Times New Roman" w:hAnsi="Times New Roman" w:cs="Times New Roman"/>
          <w:sz w:val="24"/>
          <w:szCs w:val="24"/>
        </w:rPr>
        <w:t>82</w:t>
      </w:r>
      <w:r w:rsidRPr="00E52D15">
        <w:rPr>
          <w:rFonts w:ascii="Times New Roman" w:hAnsi="Times New Roman" w:cs="Times New Roman"/>
          <w:sz w:val="24"/>
          <w:szCs w:val="24"/>
        </w:rPr>
        <w:t xml:space="preserve"> kg/ha un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būtiski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zemāks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par ES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vidējo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rādītāju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>.</w:t>
      </w:r>
    </w:p>
    <w:p w14:paraId="05AD507A" w14:textId="77777777" w:rsidR="00B44342" w:rsidRPr="00E52D15" w:rsidRDefault="00B44342" w:rsidP="00B44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F51C94" w14:textId="7CFB3C2A" w:rsidR="00B44342" w:rsidRPr="00E52D15" w:rsidRDefault="0072764F" w:rsidP="007276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Izplatītie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AAL </w:t>
      </w: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darbīgo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vielu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apjomi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uz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lauksaimniecībā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izmantotās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zemes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platību</w:t>
      </w:r>
      <w:proofErr w:type="spellEnd"/>
      <w:r w:rsidR="00815FD7"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E</w:t>
      </w:r>
      <w:r w:rsidR="00CB2850" w:rsidRPr="00E52D1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15FD7"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15FD7" w:rsidRPr="00E52D15">
        <w:rPr>
          <w:rFonts w:ascii="Times New Roman" w:hAnsi="Times New Roman" w:cs="Times New Roman"/>
          <w:b/>
          <w:bCs/>
          <w:sz w:val="24"/>
          <w:szCs w:val="24"/>
        </w:rPr>
        <w:t>dalībvalstīs</w:t>
      </w:r>
      <w:proofErr w:type="spellEnd"/>
      <w:r w:rsidR="00815FD7"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2850" w:rsidRPr="00E52D15">
        <w:rPr>
          <w:rFonts w:ascii="Times New Roman" w:hAnsi="Times New Roman" w:cs="Times New Roman"/>
          <w:b/>
          <w:bCs/>
          <w:sz w:val="24"/>
          <w:szCs w:val="24"/>
        </w:rPr>
        <w:t>(EU-27)</w:t>
      </w:r>
      <w:r w:rsidRPr="00E52D15">
        <w:rPr>
          <w:rFonts w:ascii="Times New Roman" w:hAnsi="Times New Roman" w:cs="Times New Roman"/>
          <w:b/>
          <w:bCs/>
          <w:sz w:val="24"/>
          <w:szCs w:val="24"/>
        </w:rPr>
        <w:t>, kg/ha (201</w:t>
      </w:r>
      <w:r w:rsidR="002B291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52D15">
        <w:rPr>
          <w:rFonts w:ascii="Times New Roman" w:hAnsi="Times New Roman" w:cs="Times New Roman"/>
          <w:b/>
          <w:bCs/>
          <w:sz w:val="24"/>
          <w:szCs w:val="24"/>
        </w:rPr>
        <w:t>.gads)</w:t>
      </w:r>
    </w:p>
    <w:p w14:paraId="52B6DED0" w14:textId="1DC7AABF" w:rsidR="002B291D" w:rsidRDefault="002B291D" w:rsidP="00815F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FEE1E15" wp14:editId="0462D325">
            <wp:extent cx="5731510" cy="3551555"/>
            <wp:effectExtent l="0" t="0" r="2540" b="1079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3E2A3B3E-5468-4E8F-BDC0-F881FAD20F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96C136B" w14:textId="77777777" w:rsidR="002B291D" w:rsidRDefault="002B291D" w:rsidP="00815F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C1138E" w14:textId="77777777" w:rsidR="00815FD7" w:rsidRPr="00E52D15" w:rsidRDefault="00815FD7" w:rsidP="00B4434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Latvijā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izplatītā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AAL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apjoma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kāpums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daļēji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saistīts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pieaugošām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lauksaimniecībā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izmantotās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platībām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– 2011.-2018.gadā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šī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dinamika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bija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viena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straujākajām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ES.</w:t>
      </w:r>
      <w:r w:rsidR="004F4318" w:rsidRPr="00E52D15">
        <w:rPr>
          <w:rFonts w:ascii="Times New Roman" w:hAnsi="Times New Roman" w:cs="Times New Roman"/>
          <w:sz w:val="24"/>
          <w:szCs w:val="24"/>
        </w:rPr>
        <w:t xml:space="preserve"> Lai 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4F4318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krūmiem</w:t>
      </w:r>
      <w:proofErr w:type="spellEnd"/>
      <w:r w:rsidR="004F4318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4F4318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ilggadīgajām</w:t>
      </w:r>
      <w:proofErr w:type="spellEnd"/>
      <w:r w:rsidR="004F4318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nezālēm</w:t>
      </w:r>
      <w:proofErr w:type="spellEnd"/>
      <w:r w:rsidR="004F4318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aizaugušu</w:t>
      </w:r>
      <w:proofErr w:type="spellEnd"/>
      <w:r w:rsidR="004F4318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platību</w:t>
      </w:r>
      <w:proofErr w:type="spellEnd"/>
      <w:r w:rsidR="004F4318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sagatavotu</w:t>
      </w:r>
      <w:proofErr w:type="spellEnd"/>
      <w:r w:rsidR="004F4318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lauksaimnieciskai</w:t>
      </w:r>
      <w:proofErr w:type="spellEnd"/>
      <w:r w:rsidR="004F4318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darbībai</w:t>
      </w:r>
      <w:proofErr w:type="spellEnd"/>
      <w:r w:rsidR="004F4318" w:rsidRPr="00E52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visekonomiskāk</w:t>
      </w:r>
      <w:proofErr w:type="spellEnd"/>
      <w:r w:rsidR="004F4318" w:rsidRPr="00E52D1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siltumnīcefeka</w:t>
      </w:r>
      <w:proofErr w:type="spellEnd"/>
      <w:r w:rsidR="004F4318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gāzu</w:t>
      </w:r>
      <w:proofErr w:type="spellEnd"/>
      <w:r w:rsidR="004F4318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emisiju</w:t>
      </w:r>
      <w:proofErr w:type="spellEnd"/>
      <w:r w:rsidR="004F4318" w:rsidRPr="00E52D1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izmaksu</w:t>
      </w:r>
      <w:proofErr w:type="spellEnd"/>
      <w:r w:rsidR="004F4318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ziņā</w:t>
      </w:r>
      <w:proofErr w:type="spellEnd"/>
      <w:r w:rsidR="004F4318" w:rsidRPr="00E52D15">
        <w:rPr>
          <w:rFonts w:ascii="Times New Roman" w:hAnsi="Times New Roman" w:cs="Times New Roman"/>
          <w:sz w:val="24"/>
          <w:szCs w:val="24"/>
        </w:rPr>
        <w:t xml:space="preserve">) to var 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paveikt</w:t>
      </w:r>
      <w:proofErr w:type="spellEnd"/>
      <w:r w:rsidR="004F4318" w:rsidRPr="00E52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izmantojot</w:t>
      </w:r>
      <w:proofErr w:type="spellEnd"/>
      <w:r w:rsidR="004F4318" w:rsidRPr="00E52D15">
        <w:rPr>
          <w:rFonts w:ascii="Times New Roman" w:hAnsi="Times New Roman" w:cs="Times New Roman"/>
          <w:sz w:val="24"/>
          <w:szCs w:val="24"/>
        </w:rPr>
        <w:t xml:space="preserve"> AAL - 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glifosātu</w:t>
      </w:r>
      <w:proofErr w:type="spellEnd"/>
      <w:r w:rsidR="004F4318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saturošus</w:t>
      </w:r>
      <w:proofErr w:type="spellEnd"/>
      <w:r w:rsidR="004F4318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318" w:rsidRPr="00E52D15">
        <w:rPr>
          <w:rFonts w:ascii="Times New Roman" w:hAnsi="Times New Roman" w:cs="Times New Roman"/>
          <w:sz w:val="24"/>
          <w:szCs w:val="24"/>
        </w:rPr>
        <w:t>herbicīdus;</w:t>
      </w:r>
      <w:proofErr w:type="spellEnd"/>
    </w:p>
    <w:p w14:paraId="6C180400" w14:textId="3316B971" w:rsidR="006B54C8" w:rsidRDefault="006B5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D4E491" w14:textId="77777777" w:rsidR="004F4318" w:rsidRPr="00E52D15" w:rsidRDefault="004F4318" w:rsidP="00B443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5E76E6" w14:textId="77777777" w:rsidR="00B44342" w:rsidRPr="00E52D15" w:rsidRDefault="00B44342" w:rsidP="00B4434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LIZ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platību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izmaiņas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ES </w:t>
      </w: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dalībvalstīs</w:t>
      </w:r>
      <w:proofErr w:type="spellEnd"/>
      <w:r w:rsidR="004C64C0"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(EU-27)</w:t>
      </w:r>
      <w:r w:rsidR="00815FD7"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64C0"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no </w:t>
      </w:r>
      <w:r w:rsidRPr="00E52D15">
        <w:rPr>
          <w:rFonts w:ascii="Times New Roman" w:hAnsi="Times New Roman" w:cs="Times New Roman"/>
          <w:b/>
          <w:bCs/>
          <w:sz w:val="24"/>
          <w:szCs w:val="24"/>
        </w:rPr>
        <w:t>2011.</w:t>
      </w:r>
      <w:r w:rsidR="004C64C0"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C64C0" w:rsidRPr="00E52D15">
        <w:rPr>
          <w:rFonts w:ascii="Times New Roman" w:hAnsi="Times New Roman" w:cs="Times New Roman"/>
          <w:b/>
          <w:bCs/>
          <w:sz w:val="24"/>
          <w:szCs w:val="24"/>
        </w:rPr>
        <w:t>līdz</w:t>
      </w:r>
      <w:proofErr w:type="spellEnd"/>
      <w:r w:rsidR="004C64C0"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D15">
        <w:rPr>
          <w:rFonts w:ascii="Times New Roman" w:hAnsi="Times New Roman" w:cs="Times New Roman"/>
          <w:b/>
          <w:bCs/>
          <w:sz w:val="24"/>
          <w:szCs w:val="24"/>
        </w:rPr>
        <w:t>2018.gad</w:t>
      </w:r>
      <w:r w:rsidR="004C64C0" w:rsidRPr="00E52D15">
        <w:rPr>
          <w:rFonts w:ascii="Times New Roman" w:hAnsi="Times New Roman" w:cs="Times New Roman"/>
          <w:b/>
          <w:bCs/>
          <w:sz w:val="24"/>
          <w:szCs w:val="24"/>
        </w:rPr>
        <w:t>am</w:t>
      </w:r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D15">
        <w:rPr>
          <w:rFonts w:ascii="Times New Roman" w:hAnsi="Times New Roman" w:cs="Times New Roman"/>
          <w:sz w:val="24"/>
          <w:szCs w:val="24"/>
        </w:rPr>
        <w:t>(</w:t>
      </w:r>
      <w:hyperlink r:id="rId11" w:history="1">
        <w:r w:rsidRPr="00E52D15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https://ec.europa.eu/eurostat/web/products-datasets/-/tag00025</w:t>
        </w:r>
      </w:hyperlink>
      <w:r w:rsidRPr="00E52D15">
        <w:rPr>
          <w:rFonts w:ascii="Times New Roman" w:hAnsi="Times New Roman" w:cs="Times New Roman"/>
          <w:sz w:val="24"/>
          <w:szCs w:val="24"/>
        </w:rPr>
        <w:t>)</w:t>
      </w:r>
    </w:p>
    <w:p w14:paraId="73043BFB" w14:textId="77777777" w:rsidR="00B44342" w:rsidRPr="00E52D15" w:rsidRDefault="004C64C0" w:rsidP="00B44342">
      <w:pPr>
        <w:jc w:val="center"/>
        <w:rPr>
          <w:rFonts w:ascii="Times New Roman" w:hAnsi="Times New Roman" w:cs="Times New Roman"/>
          <w:sz w:val="24"/>
          <w:szCs w:val="24"/>
        </w:rPr>
      </w:pPr>
      <w:r w:rsidRPr="00E52D15">
        <w:rPr>
          <w:noProof/>
        </w:rPr>
        <w:drawing>
          <wp:inline distT="0" distB="0" distL="0" distR="0" wp14:anchorId="62BFE2EF" wp14:editId="7671E4BB">
            <wp:extent cx="5133975" cy="2743200"/>
            <wp:effectExtent l="0" t="0" r="9525" b="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C5C09A41-89B3-4060-9F8B-F7628DB890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47DF1B7" w14:textId="77777777" w:rsidR="004F4318" w:rsidRPr="00E52D15" w:rsidRDefault="004F4318" w:rsidP="00815F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AEB1C0" w14:textId="77777777" w:rsidR="004F4318" w:rsidRPr="00E52D15" w:rsidRDefault="004F4318" w:rsidP="004F431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Pēdējos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gados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plašāk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tiek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audzētas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daudz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ražīgākās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intensīvās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graudaugu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šķirnes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pieprasa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intensīvu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mēslošanu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un AAL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lietošanu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. AAL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lietošana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palīdz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saglabāt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kultūraugu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ražu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atbilstoši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audzētās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šķirnes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selekcionētajam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ražas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potenciālam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>.</w:t>
      </w:r>
    </w:p>
    <w:p w14:paraId="3EE5FC66" w14:textId="77777777" w:rsidR="004F4318" w:rsidRPr="00E52D15" w:rsidRDefault="004F4318" w:rsidP="004F43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2D15">
        <w:rPr>
          <w:rFonts w:ascii="Times New Roman" w:hAnsi="Times New Roman" w:cs="Times New Roman"/>
          <w:b/>
          <w:sz w:val="24"/>
          <w:szCs w:val="24"/>
        </w:rPr>
        <w:t>Graudaugu</w:t>
      </w:r>
      <w:proofErr w:type="spellEnd"/>
      <w:r w:rsidRPr="00E52D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sz w:val="24"/>
          <w:szCs w:val="24"/>
        </w:rPr>
        <w:t>sējumu</w:t>
      </w:r>
      <w:proofErr w:type="spellEnd"/>
      <w:r w:rsidRPr="00E52D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sz w:val="24"/>
          <w:szCs w:val="24"/>
        </w:rPr>
        <w:t>vidējā</w:t>
      </w:r>
      <w:proofErr w:type="spellEnd"/>
      <w:r w:rsidRPr="00E52D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sz w:val="24"/>
          <w:szCs w:val="24"/>
        </w:rPr>
        <w:t>ražība</w:t>
      </w:r>
      <w:proofErr w:type="spellEnd"/>
      <w:r w:rsidRPr="00E52D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sz w:val="24"/>
          <w:szCs w:val="24"/>
        </w:rPr>
        <w:t>Latvijā</w:t>
      </w:r>
      <w:proofErr w:type="spellEnd"/>
    </w:p>
    <w:p w14:paraId="1810B364" w14:textId="77777777" w:rsidR="004F4318" w:rsidRPr="00E52D15" w:rsidRDefault="004F4318" w:rsidP="004F431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52D15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E52D15">
        <w:rPr>
          <w:rFonts w:ascii="Times New Roman" w:hAnsi="Times New Roman" w:cs="Times New Roman"/>
          <w:bCs/>
          <w:sz w:val="24"/>
          <w:szCs w:val="24"/>
        </w:rPr>
        <w:t>Centrālā</w:t>
      </w:r>
      <w:proofErr w:type="spellEnd"/>
      <w:r w:rsidRPr="00E52D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sz w:val="24"/>
          <w:szCs w:val="24"/>
        </w:rPr>
        <w:t>statistikas</w:t>
      </w:r>
      <w:proofErr w:type="spellEnd"/>
      <w:r w:rsidRPr="00E52D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sz w:val="24"/>
          <w:szCs w:val="24"/>
        </w:rPr>
        <w:t>pārvalde</w:t>
      </w:r>
      <w:proofErr w:type="spellEnd"/>
      <w:r w:rsidRPr="00E52D15">
        <w:rPr>
          <w:rFonts w:ascii="Times New Roman" w:hAnsi="Times New Roman" w:cs="Times New Roman"/>
          <w:bCs/>
          <w:sz w:val="24"/>
          <w:szCs w:val="24"/>
        </w:rPr>
        <w:t xml:space="preserve">. LAG020. </w:t>
      </w:r>
      <w:proofErr w:type="spellStart"/>
      <w:r w:rsidRPr="00E52D15">
        <w:rPr>
          <w:rFonts w:ascii="Times New Roman" w:hAnsi="Times New Roman" w:cs="Times New Roman"/>
          <w:bCs/>
          <w:sz w:val="24"/>
          <w:szCs w:val="24"/>
        </w:rPr>
        <w:t>Lauksaimniecības</w:t>
      </w:r>
      <w:proofErr w:type="spellEnd"/>
      <w:r w:rsidRPr="00E52D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sz w:val="24"/>
          <w:szCs w:val="24"/>
        </w:rPr>
        <w:t>kultūru</w:t>
      </w:r>
      <w:proofErr w:type="spellEnd"/>
      <w:r w:rsidRPr="00E52D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sz w:val="24"/>
          <w:szCs w:val="24"/>
        </w:rPr>
        <w:t>sējumu</w:t>
      </w:r>
      <w:proofErr w:type="spellEnd"/>
      <w:r w:rsidRPr="00E52D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sz w:val="24"/>
          <w:szCs w:val="24"/>
        </w:rPr>
        <w:t>platība</w:t>
      </w:r>
      <w:proofErr w:type="spellEnd"/>
      <w:r w:rsidRPr="00E52D1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52D15">
        <w:rPr>
          <w:rFonts w:ascii="Times New Roman" w:hAnsi="Times New Roman" w:cs="Times New Roman"/>
          <w:bCs/>
          <w:sz w:val="24"/>
          <w:szCs w:val="24"/>
        </w:rPr>
        <w:t>kopraža</w:t>
      </w:r>
      <w:proofErr w:type="spellEnd"/>
      <w:r w:rsidRPr="00E52D15">
        <w:rPr>
          <w:rFonts w:ascii="Times New Roman" w:hAnsi="Times New Roman" w:cs="Times New Roman"/>
          <w:bCs/>
          <w:sz w:val="24"/>
          <w:szCs w:val="24"/>
        </w:rPr>
        <w:t xml:space="preserve"> un </w:t>
      </w:r>
      <w:proofErr w:type="spellStart"/>
      <w:r w:rsidRPr="00E52D15">
        <w:rPr>
          <w:rFonts w:ascii="Times New Roman" w:hAnsi="Times New Roman" w:cs="Times New Roman"/>
          <w:bCs/>
          <w:sz w:val="24"/>
          <w:szCs w:val="24"/>
        </w:rPr>
        <w:t>vidējā</w:t>
      </w:r>
      <w:proofErr w:type="spellEnd"/>
      <w:r w:rsidRPr="00E52D1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Cs/>
          <w:sz w:val="24"/>
          <w:szCs w:val="24"/>
        </w:rPr>
        <w:t>ražība</w:t>
      </w:r>
      <w:proofErr w:type="spellEnd"/>
      <w:r w:rsidRPr="00E52D15">
        <w:rPr>
          <w:rFonts w:ascii="Times New Roman" w:hAnsi="Times New Roman" w:cs="Times New Roman"/>
          <w:bCs/>
          <w:sz w:val="24"/>
          <w:szCs w:val="24"/>
        </w:rPr>
        <w:t>)</w:t>
      </w:r>
    </w:p>
    <w:p w14:paraId="53BED11A" w14:textId="77777777" w:rsidR="004F4318" w:rsidRPr="00E52D15" w:rsidRDefault="004C64C0" w:rsidP="004C64C0">
      <w:pPr>
        <w:jc w:val="center"/>
        <w:rPr>
          <w:rFonts w:ascii="Times New Roman" w:hAnsi="Times New Roman" w:cs="Times New Roman"/>
          <w:sz w:val="24"/>
          <w:szCs w:val="24"/>
        </w:rPr>
      </w:pPr>
      <w:r w:rsidRPr="00E52D15">
        <w:rPr>
          <w:noProof/>
          <w:shd w:val="clear" w:color="auto" w:fill="FFC000"/>
        </w:rPr>
        <w:drawing>
          <wp:inline distT="0" distB="0" distL="0" distR="0" wp14:anchorId="0A60C815" wp14:editId="727E7F45">
            <wp:extent cx="4191000" cy="2743200"/>
            <wp:effectExtent l="0" t="0" r="0" b="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F5156B80-BB3D-4BC8-B339-B78C033F10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A68C11D" w14:textId="77777777" w:rsidR="009C569F" w:rsidRPr="00E52D15" w:rsidRDefault="009C569F" w:rsidP="004F4318">
      <w:pPr>
        <w:jc w:val="both"/>
        <w:rPr>
          <w:rFonts w:ascii="Times New Roman" w:hAnsi="Times New Roman" w:cs="Times New Roman"/>
          <w:sz w:val="24"/>
          <w:szCs w:val="24"/>
        </w:rPr>
      </w:pPr>
      <w:r w:rsidRPr="00E52D15">
        <w:rPr>
          <w:rFonts w:ascii="Times New Roman" w:hAnsi="Times New Roman" w:cs="Times New Roman"/>
          <w:sz w:val="24"/>
          <w:szCs w:val="24"/>
        </w:rPr>
        <w:t xml:space="preserve">AAL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lietojums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cieši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saistīts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klimatiskajiem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apstākļiem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kuri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gadu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gada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atšķirīgi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Sausos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karstos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laika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apstākļos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vairāk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izplatās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kaitēkļi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mazāk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slimības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attiecīgi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vairāk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jālieto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insekticīdu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mazāk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fungicīdu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Savukārt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mitrā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vēsā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sezonā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vairāk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nepieciešams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lietot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AAL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pret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slimībām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jo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tās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sastopamas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vairāk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intensīvāk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bet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kaitēkļi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kuru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attīstībai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šādi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laika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apstākļi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nav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īpaši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labvēlīgi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mazāk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52D15">
        <w:rPr>
          <w:rFonts w:ascii="Times New Roman" w:hAnsi="Times New Roman" w:cs="Times New Roman"/>
          <w:sz w:val="24"/>
          <w:szCs w:val="24"/>
        </w:rPr>
        <w:t>Agronomiski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klimatiski</w:t>
      </w:r>
      <w:proofErr w:type="spellEnd"/>
      <w:proofErr w:type="gram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mērenā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vasarā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vieni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otri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un AAL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jālieto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pret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abiem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. AAL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pret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nezālēm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vairāk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tiek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lietoti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pavasarī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līdz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vasaras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lastRenderedPageBreak/>
        <w:t>sākumam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ko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laika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apstākļi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ietekmē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mazāk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tādēļ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herbicīdu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lietojums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gadiem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svārstās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mazāk</w:t>
      </w:r>
      <w:proofErr w:type="spellEnd"/>
      <w:r w:rsidR="00815FD7" w:rsidRPr="00E52D15">
        <w:rPr>
          <w:rFonts w:ascii="Times New Roman" w:hAnsi="Times New Roman" w:cs="Times New Roman"/>
          <w:sz w:val="24"/>
          <w:szCs w:val="24"/>
        </w:rPr>
        <w:t>.</w:t>
      </w:r>
    </w:p>
    <w:p w14:paraId="7FC55A3C" w14:textId="77777777" w:rsidR="004C64C0" w:rsidRPr="00E52D15" w:rsidRDefault="004C64C0" w:rsidP="004C64C0">
      <w:pPr>
        <w:jc w:val="both"/>
        <w:rPr>
          <w:rFonts w:ascii="Times New Roman" w:hAnsi="Times New Roman" w:cs="Times New Roman"/>
          <w:iCs/>
          <w:u w:val="single"/>
        </w:rPr>
      </w:pPr>
      <w:proofErr w:type="spellStart"/>
      <w:r w:rsidRPr="00E52D15">
        <w:rPr>
          <w:rFonts w:ascii="Times New Roman" w:hAnsi="Times New Roman" w:cs="Times New Roman"/>
          <w:sz w:val="24"/>
          <w:szCs w:val="24"/>
          <w:u w:val="single"/>
        </w:rPr>
        <w:t>Saskaņotais</w:t>
      </w:r>
      <w:proofErr w:type="spellEnd"/>
      <w:r w:rsidRPr="00E52D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  <w:u w:val="single"/>
        </w:rPr>
        <w:t>riska</w:t>
      </w:r>
      <w:proofErr w:type="spellEnd"/>
      <w:r w:rsidRPr="00E52D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  <w:u w:val="single"/>
        </w:rPr>
        <w:t>indikators</w:t>
      </w:r>
      <w:proofErr w:type="spellEnd"/>
      <w:r w:rsidRPr="00E52D15">
        <w:rPr>
          <w:rFonts w:ascii="Times New Roman" w:hAnsi="Times New Roman" w:cs="Times New Roman"/>
          <w:sz w:val="24"/>
          <w:szCs w:val="24"/>
          <w:u w:val="single"/>
        </w:rPr>
        <w:t xml:space="preserve"> Nr.2</w:t>
      </w:r>
    </w:p>
    <w:p w14:paraId="5123B4CB" w14:textId="47515136" w:rsidR="004C64C0" w:rsidRDefault="004C64C0" w:rsidP="002B291D">
      <w:pPr>
        <w:jc w:val="both"/>
        <w:rPr>
          <w:rFonts w:ascii="Times New Roman" w:hAnsi="Times New Roman" w:cs="Times New Roman"/>
          <w:bCs/>
          <w:iCs/>
        </w:rPr>
      </w:pPr>
      <w:proofErr w:type="spellStart"/>
      <w:r w:rsidRPr="002B291D">
        <w:rPr>
          <w:rFonts w:ascii="Times New Roman" w:hAnsi="Times New Roman" w:cs="Times New Roman"/>
          <w:bCs/>
          <w:iCs/>
        </w:rPr>
        <w:t>Salīdzinot</w:t>
      </w:r>
      <w:proofErr w:type="spellEnd"/>
      <w:r w:rsidRPr="002B291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2B291D">
        <w:rPr>
          <w:rFonts w:ascii="Times New Roman" w:hAnsi="Times New Roman" w:cs="Times New Roman"/>
          <w:bCs/>
          <w:iCs/>
        </w:rPr>
        <w:t>ar</w:t>
      </w:r>
      <w:proofErr w:type="spellEnd"/>
      <w:r w:rsidRPr="002B291D">
        <w:rPr>
          <w:rFonts w:ascii="Times New Roman" w:hAnsi="Times New Roman" w:cs="Times New Roman"/>
          <w:bCs/>
          <w:iCs/>
        </w:rPr>
        <w:t xml:space="preserve"> 2011.-2013.gada </w:t>
      </w:r>
      <w:proofErr w:type="spellStart"/>
      <w:r w:rsidRPr="002B291D">
        <w:rPr>
          <w:rFonts w:ascii="Times New Roman" w:hAnsi="Times New Roman" w:cs="Times New Roman"/>
          <w:bCs/>
          <w:iCs/>
        </w:rPr>
        <w:t>vidējo</w:t>
      </w:r>
      <w:proofErr w:type="spellEnd"/>
      <w:r w:rsidRPr="002B291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2B291D">
        <w:rPr>
          <w:rFonts w:ascii="Times New Roman" w:hAnsi="Times New Roman" w:cs="Times New Roman"/>
          <w:bCs/>
          <w:iCs/>
        </w:rPr>
        <w:t>rādītāju</w:t>
      </w:r>
      <w:proofErr w:type="spellEnd"/>
      <w:r w:rsidRPr="002B291D">
        <w:rPr>
          <w:rFonts w:ascii="Times New Roman" w:hAnsi="Times New Roman" w:cs="Times New Roman"/>
          <w:bCs/>
          <w:iCs/>
        </w:rPr>
        <w:t>, 201</w:t>
      </w:r>
      <w:r w:rsidR="002B291D" w:rsidRPr="002B291D">
        <w:rPr>
          <w:rFonts w:ascii="Times New Roman" w:hAnsi="Times New Roman" w:cs="Times New Roman"/>
          <w:bCs/>
          <w:iCs/>
        </w:rPr>
        <w:t>8</w:t>
      </w:r>
      <w:r w:rsidRPr="002B291D">
        <w:rPr>
          <w:rFonts w:ascii="Times New Roman" w:hAnsi="Times New Roman" w:cs="Times New Roman"/>
          <w:bCs/>
          <w:iCs/>
        </w:rPr>
        <w:t xml:space="preserve">.gadā </w:t>
      </w:r>
      <w:proofErr w:type="spellStart"/>
      <w:r w:rsidRPr="002B291D">
        <w:rPr>
          <w:rFonts w:ascii="Times New Roman" w:hAnsi="Times New Roman" w:cs="Times New Roman"/>
          <w:bCs/>
          <w:iCs/>
        </w:rPr>
        <w:t>saskaņotais</w:t>
      </w:r>
      <w:proofErr w:type="spellEnd"/>
      <w:r w:rsidRPr="002B291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2B291D">
        <w:rPr>
          <w:rFonts w:ascii="Times New Roman" w:hAnsi="Times New Roman" w:cs="Times New Roman"/>
          <w:bCs/>
          <w:iCs/>
        </w:rPr>
        <w:t>riska</w:t>
      </w:r>
      <w:proofErr w:type="spellEnd"/>
      <w:r w:rsidRPr="002B291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2B291D">
        <w:rPr>
          <w:rFonts w:ascii="Times New Roman" w:hAnsi="Times New Roman" w:cs="Times New Roman"/>
          <w:bCs/>
          <w:iCs/>
        </w:rPr>
        <w:t>indikators</w:t>
      </w:r>
      <w:proofErr w:type="spellEnd"/>
      <w:r w:rsidRPr="002B291D">
        <w:rPr>
          <w:rFonts w:ascii="Times New Roman" w:hAnsi="Times New Roman" w:cs="Times New Roman"/>
          <w:bCs/>
          <w:iCs/>
        </w:rPr>
        <w:t xml:space="preserve"> Nr. 2 </w:t>
      </w:r>
      <w:proofErr w:type="spellStart"/>
      <w:r w:rsidR="002B291D" w:rsidRPr="002B291D">
        <w:rPr>
          <w:rFonts w:ascii="Times New Roman" w:hAnsi="Times New Roman" w:cs="Times New Roman"/>
          <w:bCs/>
          <w:iCs/>
        </w:rPr>
        <w:t>ir</w:t>
      </w:r>
      <w:proofErr w:type="spellEnd"/>
      <w:r w:rsidRPr="002B291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2B291D" w:rsidRPr="002B291D">
        <w:rPr>
          <w:rFonts w:ascii="Times New Roman" w:hAnsi="Times New Roman" w:cs="Times New Roman"/>
          <w:bCs/>
          <w:iCs/>
        </w:rPr>
        <w:t>samazinājies</w:t>
      </w:r>
      <w:proofErr w:type="spellEnd"/>
      <w:r w:rsidR="00C770A3">
        <w:rPr>
          <w:rFonts w:ascii="Times New Roman" w:hAnsi="Times New Roman" w:cs="Times New Roman"/>
          <w:bCs/>
          <w:iCs/>
        </w:rPr>
        <w:t xml:space="preserve"> par 27%</w:t>
      </w:r>
      <w:r w:rsidRPr="002B291D">
        <w:rPr>
          <w:rFonts w:ascii="Times New Roman" w:hAnsi="Times New Roman" w:cs="Times New Roman"/>
          <w:bCs/>
          <w:iCs/>
        </w:rPr>
        <w:t>.</w:t>
      </w:r>
      <w:r w:rsidRPr="00E52D15">
        <w:rPr>
          <w:rFonts w:ascii="Times New Roman" w:hAnsi="Times New Roman" w:cs="Times New Roman"/>
          <w:bCs/>
          <w:iCs/>
        </w:rPr>
        <w:t xml:space="preserve"> </w:t>
      </w:r>
    </w:p>
    <w:p w14:paraId="15A569D9" w14:textId="77777777" w:rsidR="006B54C8" w:rsidRPr="00E52D15" w:rsidRDefault="006B54C8" w:rsidP="002B291D">
      <w:pPr>
        <w:jc w:val="both"/>
        <w:rPr>
          <w:rFonts w:ascii="Times New Roman" w:hAnsi="Times New Roman" w:cs="Times New Roman"/>
          <w:bCs/>
          <w:iCs/>
        </w:rPr>
      </w:pPr>
    </w:p>
    <w:p w14:paraId="61DBB978" w14:textId="4C022520" w:rsidR="004C64C0" w:rsidRPr="00E52D15" w:rsidRDefault="004C64C0" w:rsidP="004C64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Saskaņotā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riska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indikatora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Nr.2 </w:t>
      </w: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dinamika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b/>
          <w:bCs/>
          <w:sz w:val="24"/>
          <w:szCs w:val="24"/>
        </w:rPr>
        <w:t>Latvijā</w:t>
      </w:r>
      <w:proofErr w:type="spellEnd"/>
      <w:r w:rsidRPr="00E52D15">
        <w:rPr>
          <w:rFonts w:ascii="Times New Roman" w:hAnsi="Times New Roman" w:cs="Times New Roman"/>
          <w:b/>
          <w:bCs/>
          <w:sz w:val="24"/>
          <w:szCs w:val="24"/>
        </w:rPr>
        <w:t xml:space="preserve"> 2011.-201</w:t>
      </w:r>
      <w:r w:rsidR="002B291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52D15">
        <w:rPr>
          <w:rFonts w:ascii="Times New Roman" w:hAnsi="Times New Roman" w:cs="Times New Roman"/>
          <w:b/>
          <w:bCs/>
          <w:sz w:val="24"/>
          <w:szCs w:val="24"/>
        </w:rPr>
        <w:t>.gadā</w:t>
      </w:r>
    </w:p>
    <w:p w14:paraId="26D87B67" w14:textId="0051C92A" w:rsidR="00C06EAC" w:rsidRPr="00E52D15" w:rsidRDefault="00C06EAC" w:rsidP="00C770A3">
      <w:pPr>
        <w:jc w:val="center"/>
        <w:rPr>
          <w:rFonts w:ascii="Times New Roman" w:hAnsi="Times New Roman" w:cs="Times New Roman"/>
          <w:b/>
          <w:i/>
        </w:rPr>
      </w:pPr>
      <w:r>
        <w:rPr>
          <w:noProof/>
        </w:rPr>
        <w:drawing>
          <wp:inline distT="0" distB="0" distL="0" distR="0" wp14:anchorId="5C9F02E8" wp14:editId="478FA1AB">
            <wp:extent cx="4681182" cy="2674620"/>
            <wp:effectExtent l="0" t="0" r="5715" b="1143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2A0603D" w14:textId="77777777" w:rsidR="00754B43" w:rsidRPr="00E52D15" w:rsidRDefault="00B44342" w:rsidP="00754B4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2D15">
        <w:rPr>
          <w:rFonts w:ascii="Times New Roman" w:hAnsi="Times New Roman" w:cs="Times New Roman"/>
          <w:sz w:val="24"/>
          <w:szCs w:val="24"/>
        </w:rPr>
        <w:t>Vairākiem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kultūraugiem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dārzeņi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augļi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ogas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jau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pašreiz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trūkst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AAL, kas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lauksaimniekiem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apgrūtina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izaudzēt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kvalitatīvu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un</w:t>
      </w:r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patērētājiem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pievilcīgu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produkciju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Daļēji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to var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izskaidrot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AAL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ražotājkompāniju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nevēlēšanos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reģistrēt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Latvijā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produktus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mazā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dēļ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daļēji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izmaiņām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ES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apstiprināto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darbīgo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vielu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sarakstā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pārskatot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anulējot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līdz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šim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apstiprinātās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darbīgās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vielas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>.</w:t>
      </w:r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Tuvākajā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nākotnē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turpinoties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tendencei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aizliegt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līdz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šim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lietotās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vielas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>,</w:t>
      </w:r>
      <w:r w:rsidRPr="00E52D15">
        <w:rPr>
          <w:rFonts w:ascii="Times New Roman" w:hAnsi="Times New Roman" w:cs="Times New Roman"/>
          <w:sz w:val="24"/>
          <w:szCs w:val="24"/>
        </w:rPr>
        <w:t xml:space="preserve"> var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rasties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problēmas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laukaugu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sektorā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, </w:t>
      </w:r>
      <w:r w:rsidR="00754B43" w:rsidRPr="00E52D15">
        <w:rPr>
          <w:rFonts w:ascii="Times New Roman" w:hAnsi="Times New Roman" w:cs="Times New Roman"/>
          <w:sz w:val="24"/>
          <w:szCs w:val="24"/>
        </w:rPr>
        <w:t>jo</w:t>
      </w:r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trū</w:t>
      </w:r>
      <w:r w:rsidR="00754B43" w:rsidRPr="00E52D15">
        <w:rPr>
          <w:rFonts w:ascii="Times New Roman" w:hAnsi="Times New Roman" w:cs="Times New Roman"/>
          <w:sz w:val="24"/>
          <w:szCs w:val="24"/>
        </w:rPr>
        <w:t>ks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efektīvu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AAL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atsevišķu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kaitīgo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organismu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D15">
        <w:rPr>
          <w:rFonts w:ascii="Times New Roman" w:hAnsi="Times New Roman" w:cs="Times New Roman"/>
          <w:sz w:val="24"/>
          <w:szCs w:val="24"/>
        </w:rPr>
        <w:t>ierobežošanai</w:t>
      </w:r>
      <w:proofErr w:type="spellEnd"/>
      <w:r w:rsidRPr="00E52D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67E40" w:rsidRPr="00E52D15">
        <w:rPr>
          <w:rFonts w:ascii="Times New Roman" w:hAnsi="Times New Roman" w:cs="Times New Roman"/>
          <w:sz w:val="24"/>
          <w:szCs w:val="24"/>
        </w:rPr>
        <w:t>Iepriekšminēto</w:t>
      </w:r>
      <w:proofErr w:type="spellEnd"/>
      <w:r w:rsidR="00767E40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40" w:rsidRPr="00E52D15">
        <w:rPr>
          <w:rFonts w:ascii="Times New Roman" w:hAnsi="Times New Roman" w:cs="Times New Roman"/>
          <w:sz w:val="24"/>
          <w:szCs w:val="24"/>
        </w:rPr>
        <w:t>izaicinājumu</w:t>
      </w:r>
      <w:proofErr w:type="spellEnd"/>
      <w:r w:rsidR="00767E40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E40" w:rsidRPr="00E52D15">
        <w:rPr>
          <w:rFonts w:ascii="Times New Roman" w:hAnsi="Times New Roman" w:cs="Times New Roman"/>
          <w:sz w:val="24"/>
          <w:szCs w:val="24"/>
        </w:rPr>
        <w:t>dēļ</w:t>
      </w:r>
      <w:proofErr w:type="spellEnd"/>
      <w:r w:rsidR="00767E40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nākotnē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būtiski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pieaugs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ārkārtas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situāciju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risks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augu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B43" w:rsidRPr="00E52D15">
        <w:rPr>
          <w:rFonts w:ascii="Times New Roman" w:hAnsi="Times New Roman" w:cs="Times New Roman"/>
          <w:sz w:val="24"/>
          <w:szCs w:val="24"/>
        </w:rPr>
        <w:t>aizsardzībā</w:t>
      </w:r>
      <w:proofErr w:type="spellEnd"/>
      <w:r w:rsidR="00754B43" w:rsidRPr="00E52D15">
        <w:rPr>
          <w:rFonts w:ascii="Times New Roman" w:hAnsi="Times New Roman" w:cs="Times New Roman"/>
          <w:sz w:val="24"/>
          <w:szCs w:val="24"/>
        </w:rPr>
        <w:t>.</w:t>
      </w:r>
    </w:p>
    <w:p w14:paraId="3D98F47A" w14:textId="77777777" w:rsidR="00B44342" w:rsidRPr="00E52D15" w:rsidRDefault="00B44342" w:rsidP="009C2E96">
      <w:pPr>
        <w:jc w:val="both"/>
        <w:rPr>
          <w:rFonts w:ascii="Times New Roman" w:hAnsi="Times New Roman" w:cs="Times New Roman"/>
          <w:bCs/>
          <w:iCs/>
          <w:lang w:val="en-US"/>
        </w:rPr>
      </w:pPr>
      <w:bookmarkStart w:id="0" w:name="_GoBack"/>
      <w:bookmarkEnd w:id="0"/>
    </w:p>
    <w:sectPr w:rsidR="00B44342" w:rsidRPr="00E52D15" w:rsidSect="006B54C8">
      <w:pgSz w:w="11906" w:h="16838"/>
      <w:pgMar w:top="993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DEAE5" w14:textId="77777777" w:rsidR="002B291D" w:rsidRDefault="002B291D" w:rsidP="00B44342">
      <w:pPr>
        <w:spacing w:after="0" w:line="240" w:lineRule="auto"/>
      </w:pPr>
      <w:r>
        <w:separator/>
      </w:r>
    </w:p>
  </w:endnote>
  <w:endnote w:type="continuationSeparator" w:id="0">
    <w:p w14:paraId="7E35A207" w14:textId="77777777" w:rsidR="002B291D" w:rsidRDefault="002B291D" w:rsidP="00B44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85ABF" w14:textId="77777777" w:rsidR="002B291D" w:rsidRDefault="002B291D" w:rsidP="00B44342">
      <w:pPr>
        <w:spacing w:after="0" w:line="240" w:lineRule="auto"/>
      </w:pPr>
      <w:r>
        <w:separator/>
      </w:r>
    </w:p>
  </w:footnote>
  <w:footnote w:type="continuationSeparator" w:id="0">
    <w:p w14:paraId="4AF76654" w14:textId="77777777" w:rsidR="002B291D" w:rsidRDefault="002B291D" w:rsidP="00B44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91788"/>
    <w:multiLevelType w:val="hybridMultilevel"/>
    <w:tmpl w:val="F8127D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BA6B2C"/>
    <w:multiLevelType w:val="hybridMultilevel"/>
    <w:tmpl w:val="8340A7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3F1"/>
    <w:rsid w:val="00086F9F"/>
    <w:rsid w:val="0010478F"/>
    <w:rsid w:val="00257425"/>
    <w:rsid w:val="002B291D"/>
    <w:rsid w:val="002B2E65"/>
    <w:rsid w:val="002B46DA"/>
    <w:rsid w:val="002F5AF4"/>
    <w:rsid w:val="00330F83"/>
    <w:rsid w:val="0046425B"/>
    <w:rsid w:val="004C64C0"/>
    <w:rsid w:val="004F4318"/>
    <w:rsid w:val="005716E2"/>
    <w:rsid w:val="00580F04"/>
    <w:rsid w:val="005919AB"/>
    <w:rsid w:val="00657E4A"/>
    <w:rsid w:val="006B54C8"/>
    <w:rsid w:val="0072764F"/>
    <w:rsid w:val="00754B43"/>
    <w:rsid w:val="00767E40"/>
    <w:rsid w:val="007863CC"/>
    <w:rsid w:val="007B6B16"/>
    <w:rsid w:val="00815FD7"/>
    <w:rsid w:val="008646AA"/>
    <w:rsid w:val="00934FC9"/>
    <w:rsid w:val="009C2E96"/>
    <w:rsid w:val="009C569F"/>
    <w:rsid w:val="009F250E"/>
    <w:rsid w:val="00A02DDE"/>
    <w:rsid w:val="00A223F1"/>
    <w:rsid w:val="00A42CCB"/>
    <w:rsid w:val="00B44342"/>
    <w:rsid w:val="00BE3A21"/>
    <w:rsid w:val="00BF6643"/>
    <w:rsid w:val="00C06EAC"/>
    <w:rsid w:val="00C41194"/>
    <w:rsid w:val="00C770A3"/>
    <w:rsid w:val="00CB2850"/>
    <w:rsid w:val="00D517B9"/>
    <w:rsid w:val="00DF52FA"/>
    <w:rsid w:val="00E129B6"/>
    <w:rsid w:val="00E52D15"/>
    <w:rsid w:val="00EF4279"/>
    <w:rsid w:val="00F12E17"/>
    <w:rsid w:val="00FE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AEC6"/>
  <w15:chartTrackingRefBased/>
  <w15:docId w15:val="{E4B71113-8088-42E4-BEC4-229BF19F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86F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9AB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086F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F9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86F9F"/>
    <w:rPr>
      <w:rFonts w:ascii="Times New Roman" w:eastAsia="Times New Roman" w:hAnsi="Times New Roman" w:cs="Times New Roman"/>
      <w:b/>
      <w:bCs/>
      <w:sz w:val="36"/>
      <w:szCs w:val="36"/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086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Default">
    <w:name w:val="Default"/>
    <w:rsid w:val="00086F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78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4342"/>
    <w:pPr>
      <w:spacing w:after="0" w:line="240" w:lineRule="auto"/>
    </w:pPr>
    <w:rPr>
      <w:rFonts w:ascii="Calibri" w:hAnsi="Calibri" w:cs="Calibri"/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4342"/>
    <w:rPr>
      <w:rFonts w:ascii="Calibri" w:hAnsi="Calibri" w:cs="Calibri"/>
      <w:sz w:val="20"/>
      <w:szCs w:val="20"/>
      <w:lang w:val="lv-LV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4342"/>
    <w:pPr>
      <w:spacing w:line="240" w:lineRule="auto"/>
    </w:pPr>
    <w:rPr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4342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B4434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4434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3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food/plant/pesticides/sustainable_use_pesticides/harmonised-risk-indicators/trends-hri-eu_en" TargetMode="External"/><Relationship Id="rId13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hyperlink" Target="https://likumi.lv/ta/id/197883-lauksaimniecibas-produktu-integretas-audzesanas-uzglabasanas-un-markesanas-prasibas-un-kontroles-kartiba" TargetMode="External"/><Relationship Id="rId12" Type="http://schemas.openxmlformats.org/officeDocument/2006/relationships/chart" Target="charts/chart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c.europa.eu/eurostat/web/products-datasets/-/tag0002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torage\user_profiles\vents.ezers\Desktop\P1\StartHere\Statistika%20un%20info\HRI\Publicesana\2020-08-31\OK%20Pesticides%20-%20Harmonised%20Risk%20Indicator%201%20-%20Model%20st%2001092020.xlsm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storage\user_profiles\vents.ezers\Desktop\P1\StartHere\Statistika%20un%20info\_BIG%20POWER_\kg%20uz%20ha%20uc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storage\user_profiles\vents.ezers\Desktop\P1\StartHere\Statistika%20un%20info\HRI\Publicesana%202020\Dati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storage\user_profiles\vents.ezers\Desktop\P1\StartHere\Statistika%20un%20info\HRI\Publicesana%202020\Dati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storage\user_profiles\vents.ezers\Desktop\P1\StartHere\Statistika%20un%20info\HRI\Publicesana\2020-08-31\OK%20Pesticides%20-%20Harmonised%20Risk%20Indicator%202%20-%20Model%20st%2001092020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1"/>
          <c:spPr>
            <a:ln>
              <a:solidFill>
                <a:schemeClr val="accent2"/>
              </a:solidFill>
            </a:ln>
          </c:spPr>
          <c:marker>
            <c:spPr>
              <a:solidFill>
                <a:schemeClr val="accent2"/>
              </a:solidFill>
              <a:ln>
                <a:solidFill>
                  <a:schemeClr val="accent2"/>
                </a:solidFill>
              </a:ln>
            </c:spPr>
          </c:marker>
          <c:dLbls>
            <c:dLbl>
              <c:idx val="1"/>
              <c:layout>
                <c:manualLayout>
                  <c:x val="-7.6923076923077396E-3"/>
                  <c:y val="3.84697584954049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98C-4C12-A312-6D03ACEDC993}"/>
                </c:ext>
              </c:extLst>
            </c:dLbl>
            <c:dLbl>
              <c:idx val="2"/>
              <c:layout>
                <c:manualLayout>
                  <c:x val="-1.282051282051282E-2"/>
                  <c:y val="3.84697584954050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98C-4C12-A312-6D03ACEDC9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accent2"/>
                    </a:solidFill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'REPORT EXTERNAL'!$C$7:$K$7</c15:sqref>
                  </c15:fullRef>
                </c:ext>
              </c:extLst>
              <c:f>'REPORT EXTERNAL'!$D$7:$K$7</c:f>
              <c:strCache>
                <c:ptCount val="8"/>
                <c:pt idx="0">
                  <c:v>2011. g.</c:v>
                </c:pt>
                <c:pt idx="1">
                  <c:v>2012. g.</c:v>
                </c:pt>
                <c:pt idx="2">
                  <c:v>2013. g.</c:v>
                </c:pt>
                <c:pt idx="3">
                  <c:v>2014. g.</c:v>
                </c:pt>
                <c:pt idx="4">
                  <c:v>2015. g.</c:v>
                </c:pt>
                <c:pt idx="5">
                  <c:v>2016. g.</c:v>
                </c:pt>
                <c:pt idx="6">
                  <c:v>2017. g.</c:v>
                </c:pt>
                <c:pt idx="7">
                  <c:v>2018. g.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'REPORT EXTERNAL'!$C$8:$K$8</c15:sqref>
                  </c15:fullRef>
                </c:ext>
              </c:extLst>
              <c:f>'REPORT EXTERNAL'!$D$8:$K$8</c:f>
              <c:numCache>
                <c:formatCode>#,##0</c:formatCode>
                <c:ptCount val="8"/>
                <c:pt idx="0">
                  <c:v>91.558613971987228</c:v>
                </c:pt>
                <c:pt idx="1">
                  <c:v>105.93507687738169</c:v>
                </c:pt>
                <c:pt idx="2">
                  <c:v>102.50630915063105</c:v>
                </c:pt>
                <c:pt idx="3">
                  <c:v>119.46064825116396</c:v>
                </c:pt>
                <c:pt idx="4">
                  <c:v>128.23746182882613</c:v>
                </c:pt>
                <c:pt idx="5">
                  <c:v>145.97690390839819</c:v>
                </c:pt>
                <c:pt idx="6">
                  <c:v>127.75027776763824</c:v>
                </c:pt>
                <c:pt idx="7">
                  <c:v>139.50555860297126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98C-4C12-A312-6D03ACEDC9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9334016"/>
        <c:axId val="99335552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cat>
                  <c:strRef>
                    <c:extLst>
                      <c:ext uri="{02D57815-91ED-43cb-92C2-25804820EDAC}">
                        <c15:fullRef>
                          <c15:sqref>'REPORT EXTERNAL'!$C$7:$K$7</c15:sqref>
                        </c15:fullRef>
                        <c15:formulaRef>
                          <c15:sqref>'REPORT EXTERNAL'!$D$7:$K$7</c15:sqref>
                        </c15:formulaRef>
                      </c:ext>
                    </c:extLst>
                    <c:strCache>
                      <c:ptCount val="8"/>
                      <c:pt idx="0">
                        <c:v>2011. g.</c:v>
                      </c:pt>
                      <c:pt idx="1">
                        <c:v>2012. g.</c:v>
                      </c:pt>
                      <c:pt idx="2">
                        <c:v>2013. g.</c:v>
                      </c:pt>
                      <c:pt idx="3">
                        <c:v>2014. g.</c:v>
                      </c:pt>
                      <c:pt idx="4">
                        <c:v>2015. g.</c:v>
                      </c:pt>
                      <c:pt idx="5">
                        <c:v>2016. g.</c:v>
                      </c:pt>
                      <c:pt idx="6">
                        <c:v>2017. g.</c:v>
                      </c:pt>
                      <c:pt idx="7">
                        <c:v>2018. g.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ullRef>
                          <c15:sqref>'REPORT EXTERNAL'!$C$7:$K$7</c15:sqref>
                        </c15:fullRef>
                        <c15:formulaRef>
                          <c15:sqref>'REPORT EXTERNAL'!$D$7:$K$7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1-098C-4C12-A312-6D03ACEDC993}"/>
                  </c:ext>
                </c:extLst>
              </c15:ser>
            </c15:filteredLineSeries>
          </c:ext>
        </c:extLst>
      </c:lineChart>
      <c:catAx>
        <c:axId val="99334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9335552"/>
        <c:crosses val="autoZero"/>
        <c:auto val="1"/>
        <c:lblAlgn val="ctr"/>
        <c:lblOffset val="100"/>
        <c:noMultiLvlLbl val="0"/>
      </c:catAx>
      <c:valAx>
        <c:axId val="99335552"/>
        <c:scaling>
          <c:orientation val="minMax"/>
          <c:min val="60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993340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472C4"/>
            </a:solidFill>
            <a:ln w="25400">
              <a:noFill/>
            </a:ln>
          </c:spPr>
          <c:invertIfNegative val="0"/>
          <c:dPt>
            <c:idx val="5"/>
            <c:invertIfNegative val="0"/>
            <c:bubble3D val="0"/>
            <c:spPr>
              <a:solidFill>
                <a:srgbClr val="ED7D31"/>
              </a:solidFill>
              <a:ln w="25400">
                <a:noFill/>
              </a:ln>
            </c:spPr>
            <c:extLst>
              <c:ext xmlns:c16="http://schemas.microsoft.com/office/drawing/2014/chart" uri="{C3380CC4-5D6E-409C-BE32-E72D297353CC}">
                <c16:uniqueId val="{00000001-79BE-44F7-939A-2FE9A0B66F0B}"/>
              </c:ext>
            </c:extLst>
          </c:dPt>
          <c:dLbls>
            <c:dLbl>
              <c:idx val="5"/>
              <c:spPr>
                <a:noFill/>
                <a:ln w="25400">
                  <a:noFill/>
                </a:ln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 algn="ctr">
                    <a:defRPr sz="900" b="1" i="0" u="none" strike="noStrike" baseline="0">
                      <a:solidFill>
                        <a:schemeClr val="accent2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lv-LV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79BE-44F7-939A-2FE9A0B66F0B}"/>
                </c:ext>
              </c:extLst>
            </c:dLbl>
            <c:spPr>
              <a:noFill/>
              <a:ln w="25400">
                <a:noFill/>
              </a:ln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 algn="ctr">
                  <a:defRPr sz="900" b="1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Eurostat!$AS$10:$AS$36</c:f>
              <c:strCache>
                <c:ptCount val="27"/>
                <c:pt idx="0">
                  <c:v>LU</c:v>
                </c:pt>
                <c:pt idx="1">
                  <c:v>IE</c:v>
                </c:pt>
                <c:pt idx="2">
                  <c:v>SE</c:v>
                </c:pt>
                <c:pt idx="3">
                  <c:v>EE</c:v>
                </c:pt>
                <c:pt idx="4">
                  <c:v>LT</c:v>
                </c:pt>
                <c:pt idx="5">
                  <c:v>LV</c:v>
                </c:pt>
                <c:pt idx="6">
                  <c:v>RO</c:v>
                </c:pt>
                <c:pt idx="7">
                  <c:v>GR</c:v>
                </c:pt>
                <c:pt idx="8">
                  <c:v>BG</c:v>
                </c:pt>
                <c:pt idx="9">
                  <c:v>DK</c:v>
                </c:pt>
                <c:pt idx="10">
                  <c:v>HR</c:v>
                </c:pt>
                <c:pt idx="11">
                  <c:v>SK</c:v>
                </c:pt>
                <c:pt idx="12">
                  <c:v>CZ</c:v>
                </c:pt>
                <c:pt idx="13">
                  <c:v>PL</c:v>
                </c:pt>
                <c:pt idx="14">
                  <c:v>HU</c:v>
                </c:pt>
                <c:pt idx="15">
                  <c:v>AT</c:v>
                </c:pt>
                <c:pt idx="16">
                  <c:v>FI</c:v>
                </c:pt>
                <c:pt idx="17">
                  <c:v>PT</c:v>
                </c:pt>
                <c:pt idx="18">
                  <c:v>SL</c:v>
                </c:pt>
                <c:pt idx="19">
                  <c:v>ES</c:v>
                </c:pt>
                <c:pt idx="20">
                  <c:v>DE</c:v>
                </c:pt>
                <c:pt idx="21">
                  <c:v>FR</c:v>
                </c:pt>
                <c:pt idx="22">
                  <c:v>IT</c:v>
                </c:pt>
                <c:pt idx="23">
                  <c:v>BE</c:v>
                </c:pt>
                <c:pt idx="24">
                  <c:v>NL</c:v>
                </c:pt>
                <c:pt idx="25">
                  <c:v>MT</c:v>
                </c:pt>
                <c:pt idx="26">
                  <c:v>CY</c:v>
                </c:pt>
              </c:strCache>
            </c:strRef>
          </c:cat>
          <c:val>
            <c:numRef>
              <c:f>Eurostat!$AT$10:$AT$36</c:f>
              <c:numCache>
                <c:formatCode>0.00</c:formatCode>
                <c:ptCount val="27"/>
                <c:pt idx="0">
                  <c:v>0.47856491334752199</c:v>
                </c:pt>
                <c:pt idx="1">
                  <c:v>0.58709820993613882</c:v>
                </c:pt>
                <c:pt idx="2">
                  <c:v>0.62348561353690679</c:v>
                </c:pt>
                <c:pt idx="3">
                  <c:v>0.63340735503530143</c:v>
                </c:pt>
                <c:pt idx="4">
                  <c:v>0.69508860862572663</c:v>
                </c:pt>
                <c:pt idx="5">
                  <c:v>0.81892099695546716</c:v>
                </c:pt>
                <c:pt idx="6">
                  <c:v>0.82807882067193794</c:v>
                </c:pt>
                <c:pt idx="7">
                  <c:v>0.91914221688524111</c:v>
                </c:pt>
                <c:pt idx="8">
                  <c:v>1.0027378197635122</c:v>
                </c:pt>
                <c:pt idx="9">
                  <c:v>1.0051768281101614</c:v>
                </c:pt>
                <c:pt idx="10">
                  <c:v>1.142707905630532</c:v>
                </c:pt>
                <c:pt idx="11">
                  <c:v>1.2972988320118362</c:v>
                </c:pt>
                <c:pt idx="12">
                  <c:v>1.4697112300679493</c:v>
                </c:pt>
                <c:pt idx="13">
                  <c:v>1.5926605018724791</c:v>
                </c:pt>
                <c:pt idx="14">
                  <c:v>1.597194121015461</c:v>
                </c:pt>
                <c:pt idx="15">
                  <c:v>1.9893980044011697</c:v>
                </c:pt>
                <c:pt idx="16">
                  <c:v>2.1574985694792903</c:v>
                </c:pt>
                <c:pt idx="17">
                  <c:v>2.2434889263856634</c:v>
                </c:pt>
                <c:pt idx="18">
                  <c:v>2.4508254346870881</c:v>
                </c:pt>
                <c:pt idx="19">
                  <c:v>2.5346439185998131</c:v>
                </c:pt>
                <c:pt idx="20">
                  <c:v>2.6988999765696811</c:v>
                </c:pt>
                <c:pt idx="21">
                  <c:v>2.9279479506660198</c:v>
                </c:pt>
                <c:pt idx="22">
                  <c:v>4.1861942480875376</c:v>
                </c:pt>
                <c:pt idx="23">
                  <c:v>4.8929620671346825</c:v>
                </c:pt>
                <c:pt idx="24">
                  <c:v>5.1486803116769098</c:v>
                </c:pt>
                <c:pt idx="25">
                  <c:v>7.7721070811744388</c:v>
                </c:pt>
                <c:pt idx="26">
                  <c:v>8.9707973321206609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BE-44F7-939A-2FE9A0B66F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66445072"/>
        <c:axId val="1"/>
      </c:barChart>
      <c:lineChart>
        <c:grouping val="standard"/>
        <c:varyColors val="0"/>
        <c:ser>
          <c:idx val="1"/>
          <c:order val="1"/>
          <c:spPr>
            <a:ln w="19050">
              <a:solidFill>
                <a:srgbClr val="FF0000"/>
              </a:solidFill>
              <a:prstDash val="dash"/>
            </a:ln>
          </c:spPr>
          <c:marker>
            <c:symbol val="none"/>
          </c:marker>
          <c:val>
            <c:numRef>
              <c:f>Eurostat!$AU$10:$AU$36</c:f>
              <c:numCache>
                <c:formatCode>0.00</c:formatCode>
                <c:ptCount val="27"/>
                <c:pt idx="0">
                  <c:v>2.1973689894698394</c:v>
                </c:pt>
                <c:pt idx="1">
                  <c:v>2.1973689894698394</c:v>
                </c:pt>
                <c:pt idx="2">
                  <c:v>2.1973689894698394</c:v>
                </c:pt>
                <c:pt idx="3">
                  <c:v>2.1973689894698394</c:v>
                </c:pt>
                <c:pt idx="4">
                  <c:v>2.1973689894698394</c:v>
                </c:pt>
                <c:pt idx="5">
                  <c:v>2.1973689894698394</c:v>
                </c:pt>
                <c:pt idx="6">
                  <c:v>2.1973689894698394</c:v>
                </c:pt>
                <c:pt idx="7">
                  <c:v>2.1973689894698394</c:v>
                </c:pt>
                <c:pt idx="8">
                  <c:v>2.1973689894698394</c:v>
                </c:pt>
                <c:pt idx="9">
                  <c:v>2.1973689894698394</c:v>
                </c:pt>
                <c:pt idx="10">
                  <c:v>2.1973689894698394</c:v>
                </c:pt>
                <c:pt idx="11">
                  <c:v>2.1973689894698394</c:v>
                </c:pt>
                <c:pt idx="12">
                  <c:v>2.1973689894698394</c:v>
                </c:pt>
                <c:pt idx="13">
                  <c:v>2.1973689894698394</c:v>
                </c:pt>
                <c:pt idx="14">
                  <c:v>2.1973689894698394</c:v>
                </c:pt>
                <c:pt idx="15">
                  <c:v>2.1973689894698394</c:v>
                </c:pt>
                <c:pt idx="16">
                  <c:v>2.1973689894698394</c:v>
                </c:pt>
                <c:pt idx="17">
                  <c:v>2.1973689894698394</c:v>
                </c:pt>
                <c:pt idx="18">
                  <c:v>2.1973689894698394</c:v>
                </c:pt>
                <c:pt idx="19">
                  <c:v>2.1973689894698394</c:v>
                </c:pt>
                <c:pt idx="20">
                  <c:v>2.1973689894698394</c:v>
                </c:pt>
                <c:pt idx="21">
                  <c:v>2.1973689894698394</c:v>
                </c:pt>
                <c:pt idx="22">
                  <c:v>2.1973689894698394</c:v>
                </c:pt>
                <c:pt idx="23">
                  <c:v>2.1973689894698394</c:v>
                </c:pt>
                <c:pt idx="24">
                  <c:v>2.1973689894698394</c:v>
                </c:pt>
                <c:pt idx="25">
                  <c:v>2.1973689894698394</c:v>
                </c:pt>
                <c:pt idx="26">
                  <c:v>2.1973689894698394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9BE-44F7-939A-2FE9A0B66F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66445072"/>
        <c:axId val="1"/>
      </c:lineChart>
      <c:catAx>
        <c:axId val="56644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lv-LV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1000"/>
                </a:pPr>
                <a:r>
                  <a:rPr lang="lv-LV" sz="1000"/>
                  <a:t>AAL darbīgās</a:t>
                </a:r>
                <a:r>
                  <a:rPr lang="lv-LV" sz="1000" baseline="0"/>
                  <a:t> vielas kg/ha </a:t>
                </a:r>
                <a:endParaRPr lang="lv-LV" sz="1000"/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lv-LV"/>
          </a:p>
        </c:txPr>
        <c:crossAx val="56644507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dash"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lv-LV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80767339147541"/>
          <c:y val="5.0925925925925923E-2"/>
          <c:w val="0.8739288757736452"/>
          <c:h val="0.89814814814814814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flip="none" rotWithShape="1">
              <a:gsLst>
                <a:gs pos="0">
                  <a:schemeClr val="accent5">
                    <a:lumMod val="5000"/>
                    <a:lumOff val="95000"/>
                  </a:schemeClr>
                </a:gs>
                <a:gs pos="74000">
                  <a:schemeClr val="accent5">
                    <a:lumMod val="45000"/>
                    <a:lumOff val="55000"/>
                  </a:schemeClr>
                </a:gs>
                <a:gs pos="83000">
                  <a:schemeClr val="accent5">
                    <a:lumMod val="45000"/>
                    <a:lumOff val="55000"/>
                  </a:schemeClr>
                </a:gs>
                <a:gs pos="100000">
                  <a:schemeClr val="accent5">
                    <a:lumMod val="30000"/>
                    <a:lumOff val="70000"/>
                  </a:schemeClr>
                </a:gs>
              </a:gsLst>
              <a:lin ang="5400000" scaled="1"/>
              <a:tileRect/>
            </a:gradFill>
            <a:ln>
              <a:noFill/>
            </a:ln>
            <a:effectLst/>
          </c:spPr>
          <c:invertIfNegative val="0"/>
          <c:dPt>
            <c:idx val="25"/>
            <c:invertIfNegative val="0"/>
            <c:bubble3D val="0"/>
            <c:spPr>
              <a:gradFill flip="none" rotWithShape="1">
                <a:gsLst>
                  <a:gs pos="0">
                    <a:schemeClr val="accent2">
                      <a:lumMod val="5000"/>
                      <a:lumOff val="95000"/>
                    </a:schemeClr>
                  </a:gs>
                  <a:gs pos="74000">
                    <a:schemeClr val="accent2">
                      <a:lumMod val="45000"/>
                      <a:lumOff val="55000"/>
                    </a:schemeClr>
                  </a:gs>
                  <a:gs pos="83000">
                    <a:schemeClr val="accent2">
                      <a:lumMod val="45000"/>
                      <a:lumOff val="55000"/>
                    </a:schemeClr>
                  </a:gs>
                  <a:gs pos="100000">
                    <a:schemeClr val="accent2">
                      <a:lumMod val="30000"/>
                      <a:lumOff val="70000"/>
                    </a:schemeClr>
                  </a:gs>
                </a:gsLst>
                <a:lin ang="5400000" scaled="1"/>
                <a:tileRect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C4A-461B-92F7-A72EEE352EAA}"/>
              </c:ext>
            </c:extLst>
          </c:dPt>
          <c:dLbls>
            <c:dLbl>
              <c:idx val="8"/>
              <c:layout>
                <c:manualLayout>
                  <c:x val="0"/>
                  <c:y val="-2.7777777777777776E-2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 rot="-5400000" vert="horz"/>
                <a:lstStyle/>
                <a:p>
                  <a:pPr algn="ctr"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lv-LV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C4A-461B-92F7-A72EEE352EAA}"/>
                </c:ext>
              </c:extLst>
            </c:dLbl>
            <c:dLbl>
              <c:idx val="9"/>
              <c:layout>
                <c:manualLayout>
                  <c:x val="-4.5350950024857859E-17"/>
                  <c:y val="-2.3148148148148064E-2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 rot="-5400000" vert="horz"/>
                <a:lstStyle/>
                <a:p>
                  <a:pPr algn="ctr"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lv-LV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C4A-461B-92F7-A72EEE352EAA}"/>
                </c:ext>
              </c:extLst>
            </c:dLbl>
            <c:dLbl>
              <c:idx val="10"/>
              <c:layout>
                <c:manualLayout>
                  <c:x val="-9.0701900049715718E-17"/>
                  <c:y val="-1.8518518518518517E-2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 rot="-5400000" vert="horz"/>
                <a:lstStyle/>
                <a:p>
                  <a:pPr algn="ctr"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lv-LV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C4A-461B-92F7-A72EEE352EAA}"/>
                </c:ext>
              </c:extLst>
            </c:dLbl>
            <c:dLbl>
              <c:idx val="11"/>
              <c:layout>
                <c:manualLayout>
                  <c:x val="0"/>
                  <c:y val="-2.3148148148148147E-2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 rot="-5400000" vert="horz"/>
                <a:lstStyle/>
                <a:p>
                  <a:pPr algn="ctr"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lv-LV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C4A-461B-92F7-A72EEE352EAA}"/>
                </c:ext>
              </c:extLst>
            </c:dLbl>
            <c:dLbl>
              <c:idx val="12"/>
              <c:layout>
                <c:manualLayout>
                  <c:x val="0"/>
                  <c:y val="-3.7037037037036952E-2"/>
                </c:manualLayout>
              </c:layout>
              <c:numFmt formatCode="0.0%" sourceLinked="0"/>
              <c:spPr>
                <a:noFill/>
                <a:ln w="25400">
                  <a:noFill/>
                </a:ln>
              </c:spPr>
              <c:txPr>
                <a:bodyPr rot="-5400000" vert="horz"/>
                <a:lstStyle/>
                <a:p>
                  <a:pPr algn="ctr">
                    <a:defRPr sz="900" b="0" i="0" u="none" strike="noStrike" baseline="0">
                      <a:solidFill>
                        <a:srgbClr val="333333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lv-LV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C4A-461B-92F7-A72EEE352EAA}"/>
                </c:ext>
              </c:extLst>
            </c:dLbl>
            <c:dLbl>
              <c:idx val="25"/>
              <c:numFmt formatCode="0.0%" sourceLinked="0"/>
              <c:spPr>
                <a:noFill/>
                <a:ln w="25400">
                  <a:noFill/>
                </a:ln>
              </c:spPr>
              <c:txPr>
                <a:bodyPr rot="-5400000" vert="horz"/>
                <a:lstStyle/>
                <a:p>
                  <a:pPr algn="ctr">
                    <a:defRPr sz="900" b="0" i="0" u="none" strike="noStrike" baseline="0">
                      <a:solidFill>
                        <a:srgbClr val="FF66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lv-LV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BC4A-461B-92F7-A72EEE352EAA}"/>
                </c:ext>
              </c:extLst>
            </c:dLbl>
            <c:numFmt formatCode="0.0%" sourceLinked="0"/>
            <c:spPr>
              <a:noFill/>
              <a:ln w="25400">
                <a:noFill/>
              </a:ln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 algn="ctr"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(UAA!$A$88:$A$104,UAA!$A$106:$A$115)</c:f>
              <c:strCache>
                <c:ptCount val="27"/>
                <c:pt idx="0">
                  <c:v>AT</c:v>
                </c:pt>
                <c:pt idx="1">
                  <c:v>GR</c:v>
                </c:pt>
                <c:pt idx="2">
                  <c:v>RO</c:v>
                </c:pt>
                <c:pt idx="3">
                  <c:v>SE</c:v>
                </c:pt>
                <c:pt idx="4">
                  <c:v>NL</c:v>
                </c:pt>
                <c:pt idx="5">
                  <c:v>PL</c:v>
                </c:pt>
                <c:pt idx="6">
                  <c:v>PT</c:v>
                </c:pt>
                <c:pt idx="7">
                  <c:v>DK</c:v>
                </c:pt>
                <c:pt idx="8">
                  <c:v>BG</c:v>
                </c:pt>
                <c:pt idx="9">
                  <c:v>IE</c:v>
                </c:pt>
                <c:pt idx="10">
                  <c:v>FI</c:v>
                </c:pt>
                <c:pt idx="11">
                  <c:v>SK</c:v>
                </c:pt>
                <c:pt idx="12">
                  <c:v>DE</c:v>
                </c:pt>
                <c:pt idx="13">
                  <c:v>HU</c:v>
                </c:pt>
                <c:pt idx="14">
                  <c:v>LU</c:v>
                </c:pt>
                <c:pt idx="15">
                  <c:v>CZ</c:v>
                </c:pt>
                <c:pt idx="16">
                  <c:v>FR</c:v>
                </c:pt>
                <c:pt idx="17">
                  <c:v>MT</c:v>
                </c:pt>
                <c:pt idx="18">
                  <c:v>ES</c:v>
                </c:pt>
                <c:pt idx="19">
                  <c:v>IT</c:v>
                </c:pt>
                <c:pt idx="20">
                  <c:v>BE</c:v>
                </c:pt>
                <c:pt idx="21">
                  <c:v>SL</c:v>
                </c:pt>
                <c:pt idx="22">
                  <c:v>LT</c:v>
                </c:pt>
                <c:pt idx="23">
                  <c:v>EE</c:v>
                </c:pt>
                <c:pt idx="24">
                  <c:v>LV</c:v>
                </c:pt>
                <c:pt idx="25">
                  <c:v>HR</c:v>
                </c:pt>
                <c:pt idx="26">
                  <c:v>CY</c:v>
                </c:pt>
              </c:strCache>
            </c:strRef>
          </c:cat>
          <c:val>
            <c:numRef>
              <c:f>(UAA!$C$88:$C$104,UAA!$C$106:$C$116)</c:f>
              <c:numCache>
                <c:formatCode>0.0%</c:formatCode>
                <c:ptCount val="28"/>
                <c:pt idx="0">
                  <c:v>-7.4720638739256995E-2</c:v>
                </c:pt>
                <c:pt idx="1">
                  <c:v>-4.4156722110354742E-2</c:v>
                </c:pt>
                <c:pt idx="2">
                  <c:v>-4.0616180385391748E-2</c:v>
                </c:pt>
                <c:pt idx="3">
                  <c:v>-2.0472723711272907E-2</c:v>
                </c:pt>
                <c:pt idx="4">
                  <c:v>-1.9366225603882934E-2</c:v>
                </c:pt>
                <c:pt idx="5">
                  <c:v>-1.6281917700707801E-2</c:v>
                </c:pt>
                <c:pt idx="6">
                  <c:v>-1.5930687534935685E-2</c:v>
                </c:pt>
                <c:pt idx="7">
                  <c:v>-1.5004115842250958E-2</c:v>
                </c:pt>
                <c:pt idx="8">
                  <c:v>-1.1334623964465074E-2</c:v>
                </c:pt>
                <c:pt idx="9">
                  <c:v>-8.6620568543518909E-3</c:v>
                </c:pt>
                <c:pt idx="10">
                  <c:v>-6.472208859929037E-3</c:v>
                </c:pt>
                <c:pt idx="11">
                  <c:v>-5.2650671088770697E-3</c:v>
                </c:pt>
                <c:pt idx="12">
                  <c:v>-4.557061950924912E-3</c:v>
                </c:pt>
                <c:pt idx="13">
                  <c:v>1.2272283562822254E-3</c:v>
                </c:pt>
                <c:pt idx="14">
                  <c:v>2.209187171478571E-3</c:v>
                </c:pt>
                <c:pt idx="15">
                  <c:v>5.4765512852343158E-3</c:v>
                </c:pt>
                <c:pt idx="16">
                  <c:v>5.8091919085141728E-3</c:v>
                </c:pt>
                <c:pt idx="17">
                  <c:v>1.1353711790393082E-2</c:v>
                </c:pt>
                <c:pt idx="18">
                  <c:v>1.2870814338273027E-2</c:v>
                </c:pt>
                <c:pt idx="19">
                  <c:v>1.3663557007781959E-2</c:v>
                </c:pt>
                <c:pt idx="20">
                  <c:v>1.4081136661058088E-2</c:v>
                </c:pt>
                <c:pt idx="21">
                  <c:v>4.3059799214316935E-2</c:v>
                </c:pt>
                <c:pt idx="22">
                  <c:v>5.0368865604618812E-2</c:v>
                </c:pt>
                <c:pt idx="23">
                  <c:v>6.1532769556025407E-2</c:v>
                </c:pt>
                <c:pt idx="24">
                  <c:v>6.7184316316977799E-2</c:v>
                </c:pt>
                <c:pt idx="25">
                  <c:v>0.12033210666023179</c:v>
                </c:pt>
                <c:pt idx="26">
                  <c:v>0.13849339891276208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C4A-461B-92F7-A72EEE352E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8979880"/>
        <c:axId val="1"/>
      </c:barChart>
      <c:catAx>
        <c:axId val="508979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vert="horz"/>
          <a:lstStyle/>
          <a:p>
            <a:pPr>
              <a:defRPr sz="9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lv-LV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lv-LV"/>
          </a:p>
        </c:txPr>
        <c:crossAx val="50897988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lv-LV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2"/>
          <c:order val="0"/>
          <c:tx>
            <c:strRef>
              <c:f>Ražība!$A$3</c:f>
              <c:strCache>
                <c:ptCount val="1"/>
                <c:pt idx="0">
                  <c:v>LV</c:v>
                </c:pt>
              </c:strCache>
            </c:strRef>
          </c:tx>
          <c:cat>
            <c:strRef>
              <c:f>Ražība!$B$2:$V$2</c:f>
              <c:strCache>
                <c:ptCount val="20"/>
                <c:pt idx="0">
                  <c:v>2000. g.</c:v>
                </c:pt>
                <c:pt idx="1">
                  <c:v>2001. g.</c:v>
                </c:pt>
                <c:pt idx="2">
                  <c:v>2002. g.</c:v>
                </c:pt>
                <c:pt idx="3">
                  <c:v>2003. g.</c:v>
                </c:pt>
                <c:pt idx="4">
                  <c:v>2004. g.</c:v>
                </c:pt>
                <c:pt idx="5">
                  <c:v>2005. g.</c:v>
                </c:pt>
                <c:pt idx="6">
                  <c:v>2006. g.</c:v>
                </c:pt>
                <c:pt idx="7">
                  <c:v>2007. g.</c:v>
                </c:pt>
                <c:pt idx="8">
                  <c:v>2008. g.</c:v>
                </c:pt>
                <c:pt idx="9">
                  <c:v>2009. g.</c:v>
                </c:pt>
                <c:pt idx="10">
                  <c:v>2010. g.</c:v>
                </c:pt>
                <c:pt idx="11">
                  <c:v>2011. g.</c:v>
                </c:pt>
                <c:pt idx="12">
                  <c:v>2012. g.</c:v>
                </c:pt>
                <c:pt idx="13">
                  <c:v>2013. g.</c:v>
                </c:pt>
                <c:pt idx="14">
                  <c:v>2014. g.</c:v>
                </c:pt>
                <c:pt idx="15">
                  <c:v>2015. g.</c:v>
                </c:pt>
                <c:pt idx="16">
                  <c:v>2016. g.</c:v>
                </c:pt>
                <c:pt idx="17">
                  <c:v>2017. g.</c:v>
                </c:pt>
                <c:pt idx="18">
                  <c:v>2018. g.</c:v>
                </c:pt>
                <c:pt idx="19">
                  <c:v>2019. g.</c:v>
                </c:pt>
              </c:strCache>
            </c:strRef>
          </c:cat>
          <c:val>
            <c:numRef>
              <c:f>Ražība!$B$3:$V$3</c:f>
              <c:numCache>
                <c:formatCode>0.00</c:formatCode>
                <c:ptCount val="21"/>
                <c:pt idx="0">
                  <c:v>22</c:v>
                </c:pt>
                <c:pt idx="1">
                  <c:v>20.9</c:v>
                </c:pt>
                <c:pt idx="2">
                  <c:v>24.8</c:v>
                </c:pt>
                <c:pt idx="3">
                  <c:v>21.8</c:v>
                </c:pt>
                <c:pt idx="4">
                  <c:v>24.3</c:v>
                </c:pt>
                <c:pt idx="5">
                  <c:v>28</c:v>
                </c:pt>
                <c:pt idx="6">
                  <c:v>22.6</c:v>
                </c:pt>
                <c:pt idx="7">
                  <c:v>29.4</c:v>
                </c:pt>
                <c:pt idx="8">
                  <c:v>31</c:v>
                </c:pt>
                <c:pt idx="9">
                  <c:v>30.8</c:v>
                </c:pt>
                <c:pt idx="10">
                  <c:v>26.5</c:v>
                </c:pt>
                <c:pt idx="11">
                  <c:v>26.8</c:v>
                </c:pt>
                <c:pt idx="12">
                  <c:v>37</c:v>
                </c:pt>
                <c:pt idx="13">
                  <c:v>33.4</c:v>
                </c:pt>
                <c:pt idx="14">
                  <c:v>34</c:v>
                </c:pt>
                <c:pt idx="15">
                  <c:v>44.9</c:v>
                </c:pt>
                <c:pt idx="16">
                  <c:v>37.799999999999997</c:v>
                </c:pt>
                <c:pt idx="17">
                  <c:v>38.299999999999997</c:v>
                </c:pt>
                <c:pt idx="18">
                  <c:v>29.8</c:v>
                </c:pt>
                <c:pt idx="19">
                  <c:v>43.1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22C-4762-9603-EDFEEE9707C9}"/>
            </c:ext>
          </c:extLst>
        </c:ser>
        <c:ser>
          <c:idx val="0"/>
          <c:order val="1"/>
          <c:tx>
            <c:strRef>
              <c:f>Ražība!$A$3</c:f>
              <c:strCache>
                <c:ptCount val="1"/>
                <c:pt idx="0">
                  <c:v>LV</c:v>
                </c:pt>
              </c:strCache>
            </c:strRef>
          </c:tx>
          <c:spPr>
            <a:ln w="158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Pt>
            <c:idx val="14"/>
            <c:marker>
              <c:symbol val="square"/>
              <c:size val="5"/>
            </c:marker>
            <c:bubble3D val="0"/>
            <c:extLst>
              <c:ext xmlns:c16="http://schemas.microsoft.com/office/drawing/2014/chart" uri="{C3380CC4-5D6E-409C-BE32-E72D297353CC}">
                <c16:uniqueId val="{00000003-722C-4762-9603-EDFEEE9707C9}"/>
              </c:ext>
            </c:extLst>
          </c:dPt>
          <c:dLbls>
            <c:dLbl>
              <c:idx val="18"/>
              <c:layout>
                <c:manualLayout>
                  <c:x val="-3.9704605106179909E-2"/>
                  <c:y val="-0.1091203703703703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D56-4FD4-8937-0108E55C7763}"/>
                </c:ext>
              </c:extLst>
            </c:dLbl>
            <c:numFmt formatCode="#,##0" sourceLinked="0"/>
            <c:spPr>
              <a:noFill/>
              <a:ln w="25400">
                <a:noFill/>
              </a:ln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 algn="ctr">
                  <a:defRPr sz="1000" b="0" i="0" u="none" strike="noStrike" baseline="0">
                    <a:solidFill>
                      <a:schemeClr val="accent2"/>
                    </a:solidFill>
                    <a:latin typeface="Calibri"/>
                    <a:ea typeface="Calibri"/>
                    <a:cs typeface="Calibri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Ražība!$B$2:$V$2</c:f>
              <c:strCache>
                <c:ptCount val="20"/>
                <c:pt idx="0">
                  <c:v>2000. g.</c:v>
                </c:pt>
                <c:pt idx="1">
                  <c:v>2001. g.</c:v>
                </c:pt>
                <c:pt idx="2">
                  <c:v>2002. g.</c:v>
                </c:pt>
                <c:pt idx="3">
                  <c:v>2003. g.</c:v>
                </c:pt>
                <c:pt idx="4">
                  <c:v>2004. g.</c:v>
                </c:pt>
                <c:pt idx="5">
                  <c:v>2005. g.</c:v>
                </c:pt>
                <c:pt idx="6">
                  <c:v>2006. g.</c:v>
                </c:pt>
                <c:pt idx="7">
                  <c:v>2007. g.</c:v>
                </c:pt>
                <c:pt idx="8">
                  <c:v>2008. g.</c:v>
                </c:pt>
                <c:pt idx="9">
                  <c:v>2009. g.</c:v>
                </c:pt>
                <c:pt idx="10">
                  <c:v>2010. g.</c:v>
                </c:pt>
                <c:pt idx="11">
                  <c:v>2011. g.</c:v>
                </c:pt>
                <c:pt idx="12">
                  <c:v>2012. g.</c:v>
                </c:pt>
                <c:pt idx="13">
                  <c:v>2013. g.</c:v>
                </c:pt>
                <c:pt idx="14">
                  <c:v>2014. g.</c:v>
                </c:pt>
                <c:pt idx="15">
                  <c:v>2015. g.</c:v>
                </c:pt>
                <c:pt idx="16">
                  <c:v>2016. g.</c:v>
                </c:pt>
                <c:pt idx="17">
                  <c:v>2017. g.</c:v>
                </c:pt>
                <c:pt idx="18">
                  <c:v>2018. g.</c:v>
                </c:pt>
                <c:pt idx="19">
                  <c:v>2019. g.</c:v>
                </c:pt>
              </c:strCache>
            </c:strRef>
          </c:cat>
          <c:val>
            <c:numRef>
              <c:f>Ražība!$B$3:$V$3</c:f>
              <c:numCache>
                <c:formatCode>0.00</c:formatCode>
                <c:ptCount val="21"/>
                <c:pt idx="0">
                  <c:v>22</c:v>
                </c:pt>
                <c:pt idx="1">
                  <c:v>20.9</c:v>
                </c:pt>
                <c:pt idx="2">
                  <c:v>24.8</c:v>
                </c:pt>
                <c:pt idx="3">
                  <c:v>21.8</c:v>
                </c:pt>
                <c:pt idx="4">
                  <c:v>24.3</c:v>
                </c:pt>
                <c:pt idx="5">
                  <c:v>28</c:v>
                </c:pt>
                <c:pt idx="6">
                  <c:v>22.6</c:v>
                </c:pt>
                <c:pt idx="7">
                  <c:v>29.4</c:v>
                </c:pt>
                <c:pt idx="8">
                  <c:v>31</c:v>
                </c:pt>
                <c:pt idx="9">
                  <c:v>30.8</c:v>
                </c:pt>
                <c:pt idx="10">
                  <c:v>26.5</c:v>
                </c:pt>
                <c:pt idx="11">
                  <c:v>26.8</c:v>
                </c:pt>
                <c:pt idx="12">
                  <c:v>37</c:v>
                </c:pt>
                <c:pt idx="13">
                  <c:v>33.4</c:v>
                </c:pt>
                <c:pt idx="14">
                  <c:v>34</c:v>
                </c:pt>
                <c:pt idx="15">
                  <c:v>44.9</c:v>
                </c:pt>
                <c:pt idx="16">
                  <c:v>37.799999999999997</c:v>
                </c:pt>
                <c:pt idx="17">
                  <c:v>38.299999999999997</c:v>
                </c:pt>
                <c:pt idx="18">
                  <c:v>29.8</c:v>
                </c:pt>
                <c:pt idx="19">
                  <c:v>43.1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22C-4762-9603-EDFEEE9707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8978896"/>
        <c:axId val="1"/>
      </c:lineChart>
      <c:catAx>
        <c:axId val="5089788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0" sourceLinked="0"/>
        <c:majorTickMark val="cross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lv-LV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50"/>
          <c:min val="2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lv-LV"/>
                  <a:t>cnt/ha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lv-LV"/>
          </a:p>
        </c:txPr>
        <c:crossAx val="508978896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lv-LV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accent2"/>
                    </a:solidFill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'REPORT EXTERNAL'!$C$7:$K$7</c15:sqref>
                  </c15:fullRef>
                </c:ext>
              </c:extLst>
              <c:f>'REPORT EXTERNAL'!$D$7:$K$7</c:f>
              <c:strCache>
                <c:ptCount val="8"/>
                <c:pt idx="0">
                  <c:v>2011. g.</c:v>
                </c:pt>
                <c:pt idx="1">
                  <c:v>2012. g.</c:v>
                </c:pt>
                <c:pt idx="2">
                  <c:v>2013. g.</c:v>
                </c:pt>
                <c:pt idx="3">
                  <c:v>2014. g.</c:v>
                </c:pt>
                <c:pt idx="4">
                  <c:v>2015. g.</c:v>
                </c:pt>
                <c:pt idx="5">
                  <c:v>2016. g.</c:v>
                </c:pt>
                <c:pt idx="6">
                  <c:v>2017. g.</c:v>
                </c:pt>
                <c:pt idx="7">
                  <c:v>2018. g.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'REPORT EXTERNAL'!$C$8:$K$8</c15:sqref>
                  </c15:fullRef>
                </c:ext>
              </c:extLst>
              <c:f>'REPORT EXTERNAL'!$D$8:$K$8</c:f>
              <c:numCache>
                <c:formatCode>#,##0</c:formatCode>
                <c:ptCount val="8"/>
                <c:pt idx="0">
                  <c:v>128.57142857142858</c:v>
                </c:pt>
                <c:pt idx="1">
                  <c:v>95.604395604395606</c:v>
                </c:pt>
                <c:pt idx="2">
                  <c:v>75.824175824175825</c:v>
                </c:pt>
                <c:pt idx="3">
                  <c:v>92.307692307692307</c:v>
                </c:pt>
                <c:pt idx="4">
                  <c:v>62.637362637362635</c:v>
                </c:pt>
                <c:pt idx="5">
                  <c:v>89.010989010989022</c:v>
                </c:pt>
                <c:pt idx="6">
                  <c:v>98.901098901098905</c:v>
                </c:pt>
                <c:pt idx="7">
                  <c:v>72.527472527472526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B21-4FDD-B431-CA5595BED7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4985344"/>
        <c:axId val="104986880"/>
      </c:lineChart>
      <c:catAx>
        <c:axId val="104985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lv-LV"/>
          </a:p>
        </c:txPr>
        <c:crossAx val="104986880"/>
        <c:crosses val="autoZero"/>
        <c:auto val="1"/>
        <c:lblAlgn val="ctr"/>
        <c:lblOffset val="100"/>
        <c:noMultiLvlLbl val="0"/>
      </c:catAx>
      <c:valAx>
        <c:axId val="104986880"/>
        <c:scaling>
          <c:orientation val="minMax"/>
          <c:min val="40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049853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0.1295</cdr:x>
      <cdr:y>0.65551</cdr:y>
    </cdr:from>
    <cdr:to>
      <cdr:x>0.38681</cdr:x>
      <cdr:y>0.72869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494A6318-C8E1-4928-AB15-7A7E57436834}"/>
            </a:ext>
          </a:extLst>
        </cdr:cNvPr>
        <cdr:cNvSpPr txBox="1"/>
      </cdr:nvSpPr>
      <cdr:spPr>
        <a:xfrm xmlns:a="http://schemas.openxmlformats.org/drawingml/2006/main">
          <a:off x="742231" y="2328085"/>
          <a:ext cx="1474774" cy="25990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lvl="0" indent="0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900" b="1" i="0" baseline="0">
              <a:solidFill>
                <a:srgbClr val="FF0000"/>
              </a:solidFill>
              <a:effectLst/>
              <a:latin typeface="+mn-lt"/>
              <a:ea typeface="+mn-ea"/>
              <a:cs typeface="+mn-cs"/>
            </a:rPr>
            <a:t>ES vidējais 2,</a:t>
          </a:r>
          <a:r>
            <a:rPr lang="lv-LV" sz="900" b="1" i="0" baseline="0">
              <a:solidFill>
                <a:srgbClr val="FF0000"/>
              </a:solidFill>
              <a:effectLst/>
              <a:latin typeface="+mn-lt"/>
              <a:ea typeface="+mn-ea"/>
              <a:cs typeface="+mn-cs"/>
            </a:rPr>
            <a:t>20</a:t>
          </a:r>
          <a:r>
            <a:rPr lang="en-US" sz="900" b="1" i="0" baseline="0">
              <a:solidFill>
                <a:srgbClr val="FF0000"/>
              </a:solidFill>
              <a:effectLst/>
              <a:latin typeface="+mn-lt"/>
              <a:ea typeface="+mn-ea"/>
              <a:cs typeface="+mn-cs"/>
            </a:rPr>
            <a:t> kg/ha</a:t>
          </a:r>
          <a:endParaRPr lang="lv-LV" sz="900">
            <a:solidFill>
              <a:srgbClr val="FF0000"/>
            </a:solidFill>
            <a:effectLst/>
          </a:endParaRPr>
        </a:p>
        <a:p xmlns:a="http://schemas.openxmlformats.org/drawingml/2006/main">
          <a:endParaRPr lang="lv-LV" sz="9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4133</Words>
  <Characters>2356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Anciks</dc:creator>
  <cp:keywords/>
  <dc:description/>
  <cp:lastModifiedBy>Vents Ezers</cp:lastModifiedBy>
  <cp:revision>4</cp:revision>
  <dcterms:created xsi:type="dcterms:W3CDTF">2020-04-20T13:09:00Z</dcterms:created>
  <dcterms:modified xsi:type="dcterms:W3CDTF">2020-09-01T12:49:00Z</dcterms:modified>
</cp:coreProperties>
</file>