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BB859" w14:textId="77777777" w:rsidR="00F84C15" w:rsidRDefault="005920F6" w:rsidP="00F84C15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>P</w:t>
      </w:r>
      <w:r w:rsidR="00F84C15">
        <w:rPr>
          <w:rFonts w:ascii="Times New Roman" w:hAnsi="Times New Roman" w:cs="Times New Roman"/>
          <w:b/>
          <w:bCs/>
          <w:sz w:val="24"/>
          <w:szCs w:val="24"/>
          <w:lang w:val="lv-LV"/>
        </w:rPr>
        <w:t>ĀRSKATS</w:t>
      </w:r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</w:t>
      </w:r>
    </w:p>
    <w:p w14:paraId="041E2278" w14:textId="5D570D70" w:rsidR="003C586B" w:rsidRPr="00FD7D1C" w:rsidRDefault="003C586B" w:rsidP="00F84C15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FD7D1C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par </w:t>
      </w:r>
      <w:r w:rsidR="005920F6">
        <w:rPr>
          <w:rFonts w:ascii="Times New Roman" w:hAnsi="Times New Roman" w:cs="Times New Roman"/>
          <w:b/>
          <w:bCs/>
          <w:sz w:val="24"/>
          <w:szCs w:val="24"/>
          <w:lang w:val="lv-LV"/>
        </w:rPr>
        <w:t>Valsts vides dienesta Radiācijas drošības centra veiktajām pārbaudēm</w:t>
      </w:r>
      <w:r w:rsidR="00F84C15">
        <w:rPr>
          <w:rFonts w:ascii="Times New Roman" w:hAnsi="Times New Roman" w:cs="Times New Roman"/>
          <w:b/>
          <w:bCs/>
          <w:sz w:val="24"/>
          <w:szCs w:val="24"/>
          <w:lang w:val="lv-LV"/>
        </w:rPr>
        <w:t>,</w:t>
      </w:r>
    </w:p>
    <w:p w14:paraId="131D07E0" w14:textId="27C1E8AD" w:rsidR="003C586B" w:rsidRPr="00FD7D1C" w:rsidRDefault="003C586B" w:rsidP="00F84C15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FD7D1C">
        <w:rPr>
          <w:rFonts w:ascii="Times New Roman" w:hAnsi="Times New Roman" w:cs="Times New Roman"/>
          <w:b/>
          <w:bCs/>
          <w:sz w:val="24"/>
          <w:szCs w:val="24"/>
          <w:lang w:val="lv-LV"/>
        </w:rPr>
        <w:t>20</w:t>
      </w:r>
      <w:r w:rsidR="00223BCA">
        <w:rPr>
          <w:rFonts w:ascii="Times New Roman" w:hAnsi="Times New Roman" w:cs="Times New Roman"/>
          <w:b/>
          <w:bCs/>
          <w:sz w:val="24"/>
          <w:szCs w:val="24"/>
          <w:lang w:val="lv-LV"/>
        </w:rPr>
        <w:t>2</w:t>
      </w:r>
      <w:r w:rsidR="006943D4">
        <w:rPr>
          <w:rFonts w:ascii="Times New Roman" w:hAnsi="Times New Roman" w:cs="Times New Roman"/>
          <w:b/>
          <w:bCs/>
          <w:sz w:val="24"/>
          <w:szCs w:val="24"/>
          <w:lang w:val="lv-LV"/>
        </w:rPr>
        <w:t>2</w:t>
      </w:r>
      <w:r w:rsidRPr="00FD7D1C">
        <w:rPr>
          <w:rFonts w:ascii="Times New Roman" w:hAnsi="Times New Roman" w:cs="Times New Roman"/>
          <w:b/>
          <w:bCs/>
          <w:sz w:val="24"/>
          <w:szCs w:val="24"/>
          <w:lang w:val="lv-LV"/>
        </w:rPr>
        <w:t>. gads</w:t>
      </w:r>
    </w:p>
    <w:p w14:paraId="5BC3CB47" w14:textId="2CCFD9A9" w:rsidR="00776A94" w:rsidRPr="00D36CD7" w:rsidRDefault="00776A94" w:rsidP="00E745BB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D36CD7">
        <w:rPr>
          <w:rFonts w:ascii="Times New Roman" w:hAnsi="Times New Roman" w:cs="Times New Roman"/>
          <w:sz w:val="24"/>
          <w:szCs w:val="24"/>
          <w:lang w:val="lv-LV"/>
        </w:rPr>
        <w:t>20</w:t>
      </w:r>
      <w:r w:rsidR="00223BCA" w:rsidRPr="00D36CD7">
        <w:rPr>
          <w:rFonts w:ascii="Times New Roman" w:hAnsi="Times New Roman" w:cs="Times New Roman"/>
          <w:sz w:val="24"/>
          <w:szCs w:val="24"/>
          <w:lang w:val="lv-LV"/>
        </w:rPr>
        <w:t>2</w:t>
      </w:r>
      <w:r w:rsidR="006943D4">
        <w:rPr>
          <w:rFonts w:ascii="Times New Roman" w:hAnsi="Times New Roman" w:cs="Times New Roman"/>
          <w:sz w:val="24"/>
          <w:szCs w:val="24"/>
          <w:lang w:val="lv-LV"/>
        </w:rPr>
        <w:t>2</w:t>
      </w:r>
      <w:r w:rsidRPr="00D36CD7">
        <w:rPr>
          <w:rFonts w:ascii="Times New Roman" w:hAnsi="Times New Roman" w:cs="Times New Roman"/>
          <w:sz w:val="24"/>
          <w:szCs w:val="24"/>
          <w:lang w:val="lv-LV"/>
        </w:rPr>
        <w:t>.</w:t>
      </w:r>
      <w:r w:rsidR="004123FE" w:rsidRPr="00D36CD7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D36CD7">
        <w:rPr>
          <w:rFonts w:ascii="Times New Roman" w:hAnsi="Times New Roman" w:cs="Times New Roman"/>
          <w:sz w:val="24"/>
          <w:szCs w:val="24"/>
          <w:lang w:val="lv-LV"/>
        </w:rPr>
        <w:t xml:space="preserve">gadā </w:t>
      </w:r>
      <w:r w:rsidR="005920F6" w:rsidRPr="00D36CD7">
        <w:rPr>
          <w:rFonts w:ascii="Times New Roman" w:hAnsi="Times New Roman" w:cs="Times New Roman"/>
          <w:sz w:val="24"/>
          <w:szCs w:val="24"/>
          <w:lang w:val="lv-LV"/>
        </w:rPr>
        <w:t xml:space="preserve">Valsts vides dienesta </w:t>
      </w:r>
      <w:r w:rsidRPr="00D36CD7">
        <w:rPr>
          <w:rFonts w:ascii="Times New Roman" w:hAnsi="Times New Roman" w:cs="Times New Roman"/>
          <w:sz w:val="24"/>
          <w:szCs w:val="24"/>
          <w:lang w:val="lv-LV"/>
        </w:rPr>
        <w:t xml:space="preserve">Radiācijas drošības centra </w:t>
      </w:r>
      <w:r w:rsidR="005920F6" w:rsidRPr="00D36CD7">
        <w:rPr>
          <w:rFonts w:ascii="Times New Roman" w:hAnsi="Times New Roman" w:cs="Times New Roman"/>
          <w:sz w:val="24"/>
          <w:szCs w:val="24"/>
          <w:lang w:val="lv-LV"/>
        </w:rPr>
        <w:t xml:space="preserve">(turpmāk – VVD RDC) </w:t>
      </w:r>
      <w:r w:rsidRPr="00D36CD7">
        <w:rPr>
          <w:rFonts w:ascii="Times New Roman" w:hAnsi="Times New Roman" w:cs="Times New Roman"/>
          <w:sz w:val="24"/>
          <w:szCs w:val="24"/>
          <w:lang w:val="lv-LV"/>
        </w:rPr>
        <w:t>Inspekcijas daļa</w:t>
      </w:r>
      <w:r w:rsidR="00E427DC">
        <w:rPr>
          <w:rFonts w:ascii="Times New Roman" w:hAnsi="Times New Roman" w:cs="Times New Roman"/>
          <w:sz w:val="24"/>
          <w:szCs w:val="24"/>
          <w:lang w:val="lv-LV"/>
        </w:rPr>
        <w:t>s inspektori</w:t>
      </w:r>
      <w:r w:rsidRPr="00D36CD7">
        <w:rPr>
          <w:rFonts w:ascii="Times New Roman" w:hAnsi="Times New Roman" w:cs="Times New Roman"/>
          <w:sz w:val="24"/>
          <w:szCs w:val="24"/>
          <w:lang w:val="lv-LV"/>
        </w:rPr>
        <w:t xml:space="preserve"> veica:</w:t>
      </w:r>
    </w:p>
    <w:p w14:paraId="015A57C3" w14:textId="39A3A926" w:rsidR="00776A94" w:rsidRDefault="006943D4" w:rsidP="00E745BB">
      <w:pPr>
        <w:pStyle w:val="ListParagraph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>138</w:t>
      </w:r>
      <w:r w:rsidR="00776A94" w:rsidRPr="00FD7D1C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plānotas pārbaudes operatoru kontrolētajās teritorijās</w:t>
      </w:r>
      <w:r w:rsidR="005920F6">
        <w:rPr>
          <w:rFonts w:ascii="Times New Roman" w:hAnsi="Times New Roman" w:cs="Times New Roman"/>
          <w:b/>
          <w:bCs/>
          <w:sz w:val="24"/>
          <w:szCs w:val="24"/>
          <w:lang w:val="lv-LV"/>
        </w:rPr>
        <w:t>, kurās veic darbības ar jonizējošā starojuma avotiem saskaņā ar izsniegtajām licencēm vai reģistrācijas apliecībām</w:t>
      </w:r>
      <w:r w:rsidR="00776A94" w:rsidRPr="00FD7D1C">
        <w:rPr>
          <w:rFonts w:ascii="Times New Roman" w:hAnsi="Times New Roman" w:cs="Times New Roman"/>
          <w:b/>
          <w:bCs/>
          <w:sz w:val="24"/>
          <w:szCs w:val="24"/>
          <w:lang w:val="lv-LV"/>
        </w:rPr>
        <w:t>;</w:t>
      </w:r>
    </w:p>
    <w:p w14:paraId="60B08B85" w14:textId="5F722879" w:rsidR="008F3BC3" w:rsidRPr="00FD7D1C" w:rsidRDefault="006943D4" w:rsidP="00E745BB">
      <w:pPr>
        <w:pStyle w:val="ListParagraph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>2</w:t>
      </w:r>
      <w:r w:rsidR="00211C82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</w:t>
      </w:r>
      <w:r w:rsidR="00211C82" w:rsidRPr="00FD7D1C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plānotas pārbaudes </w:t>
      </w:r>
      <w:r w:rsidR="00FB13A8" w:rsidRPr="00FB13A8">
        <w:rPr>
          <w:rFonts w:ascii="Times New Roman" w:hAnsi="Times New Roman" w:cs="Times New Roman"/>
          <w:b/>
          <w:bCs/>
          <w:sz w:val="24"/>
          <w:szCs w:val="24"/>
          <w:lang w:val="lv-LV"/>
        </w:rPr>
        <w:t>pie operatoriem, kuri veic tāda veida darbības, kuras var</w:t>
      </w:r>
      <w:r w:rsidR="00FB13A8" w:rsidDel="00FB13A8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</w:t>
      </w:r>
      <w:r w:rsidR="00211C82">
        <w:rPr>
          <w:rFonts w:ascii="Times New Roman" w:hAnsi="Times New Roman" w:cs="Times New Roman"/>
          <w:b/>
          <w:bCs/>
          <w:sz w:val="24"/>
          <w:szCs w:val="24"/>
          <w:lang w:val="lv-LV"/>
        </w:rPr>
        <w:t>izraisīt radioaktīvu vielu koncentrēšanos, jonizējošam starojuma pārsniedzot dabisko fonu;</w:t>
      </w:r>
    </w:p>
    <w:p w14:paraId="01E575B6" w14:textId="1F5C34D6" w:rsidR="00776A94" w:rsidRPr="002D4DD4" w:rsidRDefault="00A043C6" w:rsidP="00E745BB">
      <w:pPr>
        <w:pStyle w:val="ListParagraph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>1</w:t>
      </w:r>
      <w:r w:rsidR="006943D4">
        <w:rPr>
          <w:rFonts w:ascii="Times New Roman" w:hAnsi="Times New Roman" w:cs="Times New Roman"/>
          <w:b/>
          <w:bCs/>
          <w:sz w:val="24"/>
          <w:szCs w:val="24"/>
          <w:lang w:val="lv-LV"/>
        </w:rPr>
        <w:t>7</w:t>
      </w:r>
      <w:r w:rsidRPr="00FD7D1C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</w:t>
      </w:r>
      <w:r w:rsidR="00776A94" w:rsidRPr="00FD7D1C">
        <w:rPr>
          <w:rFonts w:ascii="Times New Roman" w:hAnsi="Times New Roman" w:cs="Times New Roman"/>
          <w:b/>
          <w:bCs/>
          <w:sz w:val="24"/>
          <w:szCs w:val="24"/>
          <w:lang w:val="lv-LV"/>
        </w:rPr>
        <w:t>iepriekš neplānotas pārbaudes,</w:t>
      </w:r>
      <w:r w:rsidR="0070571A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</w:t>
      </w:r>
      <w:r w:rsidR="0070571A" w:rsidRPr="00CC6DFB">
        <w:rPr>
          <w:rFonts w:ascii="Times New Roman" w:hAnsi="Times New Roman" w:cs="Times New Roman"/>
          <w:sz w:val="24"/>
          <w:szCs w:val="24"/>
          <w:lang w:val="lv-LV"/>
        </w:rPr>
        <w:t xml:space="preserve">kas </w:t>
      </w:r>
      <w:r w:rsidR="00FB096B" w:rsidRPr="00FB096B">
        <w:rPr>
          <w:rFonts w:ascii="Times New Roman" w:hAnsi="Times New Roman" w:cs="Times New Roman"/>
          <w:sz w:val="24"/>
          <w:szCs w:val="24"/>
          <w:lang w:val="lv-LV"/>
        </w:rPr>
        <w:t>veiktas starptautiskas</w:t>
      </w:r>
      <w:r w:rsidR="0070571A" w:rsidRPr="00CC6DFB">
        <w:rPr>
          <w:rFonts w:ascii="Times New Roman" w:hAnsi="Times New Roman" w:cs="Times New Roman"/>
          <w:sz w:val="24"/>
          <w:szCs w:val="24"/>
          <w:lang w:val="lv-LV"/>
        </w:rPr>
        <w:t xml:space="preserve"> sadarbības iet</w:t>
      </w:r>
      <w:r w:rsidR="00640E0C" w:rsidRPr="00CC6DFB">
        <w:rPr>
          <w:rFonts w:ascii="Times New Roman" w:hAnsi="Times New Roman" w:cs="Times New Roman"/>
          <w:sz w:val="24"/>
          <w:szCs w:val="24"/>
          <w:lang w:val="lv-LV"/>
        </w:rPr>
        <w:t>varos</w:t>
      </w:r>
      <w:r w:rsidR="00332543" w:rsidRPr="00CC6DFB">
        <w:rPr>
          <w:rFonts w:ascii="Times New Roman" w:hAnsi="Times New Roman" w:cs="Times New Roman"/>
          <w:sz w:val="24"/>
          <w:szCs w:val="24"/>
          <w:lang w:val="lv-LV"/>
        </w:rPr>
        <w:t>,</w:t>
      </w:r>
      <w:r w:rsidR="00332543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</w:t>
      </w:r>
      <w:r w:rsidR="00776A94" w:rsidRPr="00FD7D1C">
        <w:rPr>
          <w:rFonts w:ascii="Times New Roman" w:hAnsi="Times New Roman" w:cs="Times New Roman"/>
          <w:sz w:val="24"/>
          <w:szCs w:val="24"/>
          <w:lang w:val="lv-LV"/>
        </w:rPr>
        <w:t xml:space="preserve">reaģējot uz </w:t>
      </w:r>
      <w:r w:rsidR="009C1D9D" w:rsidRPr="00FD7D1C">
        <w:rPr>
          <w:rFonts w:ascii="Times New Roman" w:hAnsi="Times New Roman" w:cs="Times New Roman"/>
          <w:sz w:val="24"/>
          <w:szCs w:val="24"/>
          <w:lang w:val="lv-LV"/>
        </w:rPr>
        <w:t>saņemt</w:t>
      </w:r>
      <w:r w:rsidR="009C1D9D">
        <w:rPr>
          <w:rFonts w:ascii="Times New Roman" w:hAnsi="Times New Roman" w:cs="Times New Roman"/>
          <w:sz w:val="24"/>
          <w:szCs w:val="24"/>
          <w:lang w:val="lv-LV"/>
        </w:rPr>
        <w:t>o</w:t>
      </w:r>
      <w:r w:rsidR="009C1D9D" w:rsidRPr="00FD7D1C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9C1D9D">
        <w:rPr>
          <w:rFonts w:ascii="Times New Roman" w:hAnsi="Times New Roman" w:cs="Times New Roman"/>
          <w:sz w:val="24"/>
          <w:szCs w:val="24"/>
          <w:lang w:val="lv-LV"/>
        </w:rPr>
        <w:t xml:space="preserve">informāciju </w:t>
      </w:r>
      <w:r w:rsidR="005920F6">
        <w:rPr>
          <w:rFonts w:ascii="Times New Roman" w:hAnsi="Times New Roman" w:cs="Times New Roman"/>
          <w:sz w:val="24"/>
          <w:szCs w:val="24"/>
          <w:lang w:val="lv-LV"/>
        </w:rPr>
        <w:t>no</w:t>
      </w:r>
      <w:r w:rsidR="00776A94" w:rsidRPr="00FD7D1C">
        <w:rPr>
          <w:rFonts w:ascii="Times New Roman" w:hAnsi="Times New Roman" w:cs="Times New Roman"/>
          <w:sz w:val="24"/>
          <w:szCs w:val="24"/>
          <w:lang w:val="lv-LV"/>
        </w:rPr>
        <w:t xml:space="preserve"> valsts iestādēm vai iedzīvotājiem par aizdomām par </w:t>
      </w:r>
      <w:r w:rsidR="00776A94" w:rsidRPr="002D4DD4">
        <w:rPr>
          <w:rFonts w:ascii="Times New Roman" w:hAnsi="Times New Roman" w:cs="Times New Roman"/>
          <w:sz w:val="24"/>
          <w:szCs w:val="24"/>
          <w:lang w:val="lv-LV"/>
        </w:rPr>
        <w:t>radioaktīvu materiālu klātbūtni</w:t>
      </w:r>
      <w:r w:rsidR="00E745BB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9C1D9D">
        <w:rPr>
          <w:rFonts w:ascii="Times New Roman" w:hAnsi="Times New Roman" w:cs="Times New Roman"/>
          <w:sz w:val="24"/>
          <w:szCs w:val="24"/>
          <w:lang w:val="lv-LV"/>
        </w:rPr>
        <w:t>vietā</w:t>
      </w:r>
      <w:r w:rsidR="00E745BB">
        <w:rPr>
          <w:rFonts w:ascii="Times New Roman" w:hAnsi="Times New Roman" w:cs="Times New Roman"/>
          <w:sz w:val="24"/>
          <w:szCs w:val="24"/>
          <w:lang w:val="lv-LV"/>
        </w:rPr>
        <w:t>s</w:t>
      </w:r>
      <w:r w:rsidR="009C1D9D">
        <w:rPr>
          <w:rFonts w:ascii="Times New Roman" w:hAnsi="Times New Roman" w:cs="Times New Roman"/>
          <w:sz w:val="24"/>
          <w:szCs w:val="24"/>
          <w:lang w:val="lv-LV"/>
        </w:rPr>
        <w:t>, kurās netiek veiktas licencētas darbības ar jonizējošā starojuma avotiem</w:t>
      </w:r>
    </w:p>
    <w:p w14:paraId="13669D71" w14:textId="67827B5B" w:rsidR="001F566F" w:rsidRDefault="00A43AA2" w:rsidP="00907FEE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4E0C6F">
        <w:rPr>
          <w:rFonts w:ascii="Times New Roman" w:hAnsi="Times New Roman" w:cs="Times New Roman"/>
          <w:sz w:val="24"/>
          <w:szCs w:val="24"/>
          <w:lang w:val="lv-LV"/>
        </w:rPr>
        <w:t>Pārskatot 202</w:t>
      </w:r>
      <w:r w:rsidR="006943D4" w:rsidRPr="004E0C6F">
        <w:rPr>
          <w:rFonts w:ascii="Times New Roman" w:hAnsi="Times New Roman" w:cs="Times New Roman"/>
          <w:sz w:val="24"/>
          <w:szCs w:val="24"/>
          <w:lang w:val="lv-LV"/>
        </w:rPr>
        <w:t>2</w:t>
      </w:r>
      <w:r w:rsidRPr="004E0C6F">
        <w:rPr>
          <w:rFonts w:ascii="Times New Roman" w:hAnsi="Times New Roman" w:cs="Times New Roman"/>
          <w:sz w:val="24"/>
          <w:szCs w:val="24"/>
          <w:lang w:val="lv-LV"/>
        </w:rPr>
        <w:t xml:space="preserve">. gadā veikto pārbaužu rezultātus, jāņem vērā </w:t>
      </w:r>
      <w:r w:rsidR="00BA3425" w:rsidRPr="004E0C6F">
        <w:rPr>
          <w:rFonts w:ascii="Times New Roman" w:hAnsi="Times New Roman" w:cs="Times New Roman"/>
          <w:sz w:val="24"/>
          <w:szCs w:val="24"/>
          <w:lang w:val="lv-LV"/>
        </w:rPr>
        <w:t xml:space="preserve">joprojām eksistējošais faktors </w:t>
      </w:r>
      <w:r w:rsidRPr="004E0C6F">
        <w:rPr>
          <w:rFonts w:ascii="Times New Roman" w:hAnsi="Times New Roman" w:cs="Times New Roman"/>
          <w:sz w:val="24"/>
          <w:szCs w:val="24"/>
          <w:lang w:val="lv-LV"/>
        </w:rPr>
        <w:t>– COVID-19 pandēmija</w:t>
      </w:r>
      <w:r w:rsidR="00BA3425" w:rsidRPr="004E0C6F">
        <w:rPr>
          <w:rFonts w:ascii="Times New Roman" w:hAnsi="Times New Roman" w:cs="Times New Roman"/>
          <w:sz w:val="24"/>
          <w:szCs w:val="24"/>
          <w:lang w:val="lv-LV"/>
        </w:rPr>
        <w:t>, bet neskatoties uz to</w:t>
      </w:r>
      <w:r w:rsidR="00332A95">
        <w:rPr>
          <w:rFonts w:ascii="Times New Roman" w:hAnsi="Times New Roman" w:cs="Times New Roman"/>
          <w:sz w:val="24"/>
          <w:szCs w:val="24"/>
          <w:lang w:val="lv-LV"/>
        </w:rPr>
        <w:t xml:space="preserve">, </w:t>
      </w:r>
      <w:r w:rsidR="00332A95" w:rsidRPr="002031C0">
        <w:rPr>
          <w:rFonts w:ascii="Times New Roman" w:hAnsi="Times New Roman" w:cs="Times New Roman"/>
          <w:sz w:val="24"/>
          <w:szCs w:val="24"/>
          <w:lang w:val="lv-LV"/>
        </w:rPr>
        <w:t>kopumā 202</w:t>
      </w:r>
      <w:r w:rsidR="000F21AE" w:rsidRPr="002031C0">
        <w:rPr>
          <w:rFonts w:ascii="Times New Roman" w:hAnsi="Times New Roman" w:cs="Times New Roman"/>
          <w:sz w:val="24"/>
          <w:szCs w:val="24"/>
          <w:lang w:val="lv-LV"/>
        </w:rPr>
        <w:t>2</w:t>
      </w:r>
      <w:r w:rsidR="00332A95" w:rsidRPr="002031C0">
        <w:rPr>
          <w:rFonts w:ascii="Times New Roman" w:hAnsi="Times New Roman" w:cs="Times New Roman"/>
          <w:sz w:val="24"/>
          <w:szCs w:val="24"/>
          <w:lang w:val="lv-LV"/>
        </w:rPr>
        <w:t xml:space="preserve">. gada laikā tika veiktas </w:t>
      </w:r>
      <w:r w:rsidR="00696007" w:rsidRPr="002031C0">
        <w:rPr>
          <w:rFonts w:ascii="Times New Roman" w:hAnsi="Times New Roman" w:cs="Times New Roman"/>
          <w:sz w:val="24"/>
          <w:szCs w:val="24"/>
          <w:lang w:val="lv-LV"/>
        </w:rPr>
        <w:t>113</w:t>
      </w:r>
      <w:r w:rsidR="002031C0" w:rsidRPr="002031C0">
        <w:rPr>
          <w:rFonts w:ascii="Times New Roman" w:hAnsi="Times New Roman" w:cs="Times New Roman"/>
          <w:sz w:val="24"/>
          <w:szCs w:val="24"/>
          <w:lang w:val="lv-LV"/>
        </w:rPr>
        <w:t xml:space="preserve"> klātienes</w:t>
      </w:r>
      <w:r w:rsidR="00332A95" w:rsidRPr="002031C0">
        <w:rPr>
          <w:rFonts w:ascii="Times New Roman" w:hAnsi="Times New Roman" w:cs="Times New Roman"/>
          <w:sz w:val="24"/>
          <w:szCs w:val="24"/>
          <w:lang w:val="lv-LV"/>
        </w:rPr>
        <w:t xml:space="preserve"> pārbaude</w:t>
      </w:r>
      <w:r w:rsidR="002031C0" w:rsidRPr="002031C0">
        <w:rPr>
          <w:rFonts w:ascii="Times New Roman" w:hAnsi="Times New Roman" w:cs="Times New Roman"/>
          <w:sz w:val="24"/>
          <w:szCs w:val="24"/>
          <w:lang w:val="lv-LV"/>
        </w:rPr>
        <w:t>s</w:t>
      </w:r>
      <w:r w:rsidR="00332A95" w:rsidRPr="002031C0">
        <w:rPr>
          <w:rFonts w:ascii="Times New Roman" w:hAnsi="Times New Roman" w:cs="Times New Roman"/>
          <w:sz w:val="24"/>
          <w:szCs w:val="24"/>
          <w:lang w:val="lv-LV"/>
        </w:rPr>
        <w:t xml:space="preserve"> pie operatoriem, kas sastāda </w:t>
      </w:r>
      <w:r w:rsidR="002031C0" w:rsidRPr="002031C0">
        <w:rPr>
          <w:rFonts w:ascii="Times New Roman" w:hAnsi="Times New Roman" w:cs="Times New Roman"/>
          <w:sz w:val="24"/>
          <w:szCs w:val="24"/>
          <w:lang w:val="lv-LV"/>
        </w:rPr>
        <w:t>81</w:t>
      </w:r>
      <w:r w:rsidR="00332A95" w:rsidRPr="002031C0">
        <w:rPr>
          <w:rFonts w:ascii="Times New Roman" w:hAnsi="Times New Roman" w:cs="Times New Roman"/>
          <w:sz w:val="24"/>
          <w:szCs w:val="24"/>
          <w:lang w:val="lv-LV"/>
        </w:rPr>
        <w:t>% no kopējā pārbaužu skaita 202</w:t>
      </w:r>
      <w:r w:rsidR="002031C0" w:rsidRPr="002031C0">
        <w:rPr>
          <w:rFonts w:ascii="Times New Roman" w:hAnsi="Times New Roman" w:cs="Times New Roman"/>
          <w:sz w:val="24"/>
          <w:szCs w:val="24"/>
          <w:lang w:val="lv-LV"/>
        </w:rPr>
        <w:t>2</w:t>
      </w:r>
      <w:r w:rsidR="00332A95" w:rsidRPr="002031C0">
        <w:rPr>
          <w:rFonts w:ascii="Times New Roman" w:hAnsi="Times New Roman" w:cs="Times New Roman"/>
          <w:sz w:val="24"/>
          <w:szCs w:val="24"/>
          <w:lang w:val="lv-LV"/>
        </w:rPr>
        <w:t xml:space="preserve">.gadā </w:t>
      </w:r>
      <w:r w:rsidR="00570A50" w:rsidRPr="002031C0">
        <w:rPr>
          <w:rFonts w:ascii="Times New Roman" w:hAnsi="Times New Roman" w:cs="Times New Roman"/>
          <w:sz w:val="24"/>
          <w:szCs w:val="24"/>
          <w:lang w:val="lv-LV"/>
        </w:rPr>
        <w:t>(2021.gadā 45%).</w:t>
      </w:r>
      <w:r w:rsidRPr="002031C0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EB4DA4" w:rsidRPr="002031C0">
        <w:rPr>
          <w:rFonts w:ascii="Times New Roman" w:hAnsi="Times New Roman" w:cs="Times New Roman"/>
          <w:sz w:val="24"/>
          <w:szCs w:val="24"/>
          <w:lang w:val="lv-LV"/>
        </w:rPr>
        <w:t>Vienlaikus</w:t>
      </w:r>
      <w:r w:rsidR="00462900" w:rsidRPr="002031C0">
        <w:rPr>
          <w:rFonts w:ascii="Times New Roman" w:hAnsi="Times New Roman" w:cs="Times New Roman"/>
          <w:sz w:val="24"/>
          <w:szCs w:val="24"/>
          <w:lang w:val="lv-LV"/>
        </w:rPr>
        <w:t xml:space="preserve"> izstrādātā metode</w:t>
      </w:r>
      <w:r w:rsidR="00462900">
        <w:rPr>
          <w:rFonts w:ascii="Times New Roman" w:hAnsi="Times New Roman" w:cs="Times New Roman"/>
          <w:sz w:val="24"/>
          <w:szCs w:val="24"/>
          <w:lang w:val="lv-LV"/>
        </w:rPr>
        <w:t>,</w:t>
      </w:r>
      <w:r w:rsidR="002E6CDA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462900">
        <w:rPr>
          <w:rFonts w:ascii="Times New Roman" w:hAnsi="Times New Roman" w:cs="Times New Roman"/>
          <w:sz w:val="24"/>
          <w:szCs w:val="24"/>
          <w:lang w:val="lv-LV"/>
        </w:rPr>
        <w:t>kas plaši tika pielietota attālināto inspekciju</w:t>
      </w:r>
      <w:r w:rsidR="002E6CDA">
        <w:rPr>
          <w:rFonts w:ascii="Times New Roman" w:hAnsi="Times New Roman" w:cs="Times New Roman"/>
          <w:sz w:val="24"/>
          <w:szCs w:val="24"/>
          <w:lang w:val="lv-LV"/>
        </w:rPr>
        <w:t xml:space="preserve"> organizēšanā, kad dokumenti</w:t>
      </w:r>
      <w:r w:rsidR="00DB08D9">
        <w:rPr>
          <w:rFonts w:ascii="Times New Roman" w:hAnsi="Times New Roman" w:cs="Times New Roman"/>
          <w:sz w:val="24"/>
          <w:szCs w:val="24"/>
          <w:lang w:val="lv-LV"/>
        </w:rPr>
        <w:t xml:space="preserve"> tika pieprasīti un izskatīti pirms inspekcijas veikšanas</w:t>
      </w:r>
      <w:r w:rsidR="00113358">
        <w:rPr>
          <w:rFonts w:ascii="Times New Roman" w:hAnsi="Times New Roman" w:cs="Times New Roman"/>
          <w:sz w:val="24"/>
          <w:szCs w:val="24"/>
          <w:lang w:val="lv-LV"/>
        </w:rPr>
        <w:t>,</w:t>
      </w:r>
      <w:r w:rsidR="00DB08D9">
        <w:rPr>
          <w:rFonts w:ascii="Times New Roman" w:hAnsi="Times New Roman" w:cs="Times New Roman"/>
          <w:sz w:val="24"/>
          <w:szCs w:val="24"/>
          <w:lang w:val="lv-LV"/>
        </w:rPr>
        <w:t xml:space="preserve"> tika izmantota šī gada darba organizēšanā un </w:t>
      </w:r>
      <w:r w:rsidR="000B6EB5">
        <w:rPr>
          <w:rFonts w:ascii="Times New Roman" w:hAnsi="Times New Roman" w:cs="Times New Roman"/>
          <w:sz w:val="24"/>
          <w:szCs w:val="24"/>
          <w:lang w:val="lv-LV"/>
        </w:rPr>
        <w:t>sniedza iespēju daudz operatīvāk un korektāk veikt inspekcijas pārbaudes un inspekcijai pavadītais laiks tika izmantots</w:t>
      </w:r>
      <w:r w:rsidR="002F020F">
        <w:rPr>
          <w:rFonts w:ascii="Times New Roman" w:hAnsi="Times New Roman" w:cs="Times New Roman"/>
          <w:sz w:val="24"/>
          <w:szCs w:val="24"/>
          <w:lang w:val="lv-LV"/>
        </w:rPr>
        <w:t xml:space="preserve"> praktisko darbību un iemaņu pārbaudei</w:t>
      </w:r>
      <w:r w:rsidR="002E6CDA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1F566F">
        <w:rPr>
          <w:rFonts w:ascii="Times New Roman" w:hAnsi="Times New Roman" w:cs="Times New Roman"/>
          <w:sz w:val="24"/>
          <w:szCs w:val="24"/>
          <w:lang w:val="lv-LV"/>
        </w:rPr>
        <w:t>attiecībā uz operatora darbībām ar jonizējošā starojuma avotiem.</w:t>
      </w:r>
    </w:p>
    <w:p w14:paraId="3E95F9A5" w14:textId="398F1B8E" w:rsidR="008246CF" w:rsidRDefault="008246CF" w:rsidP="00907FEE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Papildus, lai nodrošinātu kvalitatīvu un daudzpusīgu informācijas apkopojumu, kā arī izskaustu korupcijas riska rašanās iespējamību</w:t>
      </w:r>
      <w:r w:rsidR="00B572D1">
        <w:rPr>
          <w:rFonts w:ascii="Times New Roman" w:hAnsi="Times New Roman" w:cs="Times New Roman"/>
          <w:sz w:val="24"/>
          <w:szCs w:val="24"/>
          <w:lang w:val="lv-LV"/>
        </w:rPr>
        <w:t xml:space="preserve">, 50% klātienes </w:t>
      </w:r>
      <w:r w:rsidR="00113358">
        <w:rPr>
          <w:rFonts w:ascii="Times New Roman" w:hAnsi="Times New Roman" w:cs="Times New Roman"/>
          <w:sz w:val="24"/>
          <w:szCs w:val="24"/>
          <w:lang w:val="lv-LV"/>
        </w:rPr>
        <w:t xml:space="preserve">pārbaudes </w:t>
      </w:r>
      <w:r w:rsidR="00B572D1">
        <w:rPr>
          <w:rFonts w:ascii="Times New Roman" w:hAnsi="Times New Roman" w:cs="Times New Roman"/>
          <w:sz w:val="24"/>
          <w:szCs w:val="24"/>
          <w:lang w:val="lv-LV"/>
        </w:rPr>
        <w:t>operatora kontrolētajā teritorij</w:t>
      </w:r>
      <w:r w:rsidR="0005555E">
        <w:rPr>
          <w:rFonts w:ascii="Times New Roman" w:hAnsi="Times New Roman" w:cs="Times New Roman"/>
          <w:sz w:val="24"/>
          <w:szCs w:val="24"/>
          <w:lang w:val="lv-LV"/>
        </w:rPr>
        <w:t>ā</w:t>
      </w:r>
      <w:r w:rsidR="00B572D1">
        <w:rPr>
          <w:rFonts w:ascii="Times New Roman" w:hAnsi="Times New Roman" w:cs="Times New Roman"/>
          <w:sz w:val="24"/>
          <w:szCs w:val="24"/>
          <w:lang w:val="lv-LV"/>
        </w:rPr>
        <w:t xml:space="preserve"> nodrošin</w:t>
      </w:r>
      <w:r w:rsidR="0005555E">
        <w:rPr>
          <w:rFonts w:ascii="Times New Roman" w:hAnsi="Times New Roman" w:cs="Times New Roman"/>
          <w:sz w:val="24"/>
          <w:szCs w:val="24"/>
          <w:lang w:val="lv-LV"/>
        </w:rPr>
        <w:t>āja divu vai vairāku inspektoru sastāvā.</w:t>
      </w:r>
    </w:p>
    <w:p w14:paraId="346AC27E" w14:textId="4220F825" w:rsidR="001B1D07" w:rsidRDefault="001B1D07" w:rsidP="00551ECC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8178B13" wp14:editId="258C1405">
            <wp:simplePos x="0" y="0"/>
            <wp:positionH relativeFrom="margin">
              <wp:align>center</wp:align>
            </wp:positionH>
            <wp:positionV relativeFrom="paragraph">
              <wp:posOffset>7951</wp:posOffset>
            </wp:positionV>
            <wp:extent cx="4229100" cy="1676400"/>
            <wp:effectExtent l="0" t="0" r="0" b="0"/>
            <wp:wrapSquare wrapText="bothSides"/>
            <wp:docPr id="2" name="Chart 2">
              <a:extLst xmlns:a="http://schemas.openxmlformats.org/drawingml/2006/main">
                <a:ext uri="{FF2B5EF4-FFF2-40B4-BE49-F238E27FC236}">
                  <a16:creationId xmlns:a16="http://schemas.microsoft.com/office/drawing/2014/main" id="{7FD3DB23-E47E-3DB8-1356-6F940E2DEF1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  <w:r w:rsidR="00F37105">
        <w:rPr>
          <w:rFonts w:ascii="Times New Roman" w:hAnsi="Times New Roman" w:cs="Times New Roman"/>
          <w:sz w:val="24"/>
          <w:szCs w:val="24"/>
          <w:lang w:val="lv-LV"/>
        </w:rPr>
        <w:br w:type="textWrapping" w:clear="all"/>
      </w:r>
      <w:r w:rsidR="00C3412D">
        <w:rPr>
          <w:rFonts w:ascii="Times New Roman" w:hAnsi="Times New Roman" w:cs="Times New Roman"/>
          <w:sz w:val="24"/>
          <w:szCs w:val="24"/>
          <w:lang w:val="lv-LV"/>
        </w:rPr>
        <w:t xml:space="preserve">1.attēls. Inspektoru piesaiste </w:t>
      </w:r>
      <w:r w:rsidR="00113358">
        <w:rPr>
          <w:rFonts w:ascii="Times New Roman" w:hAnsi="Times New Roman" w:cs="Times New Roman"/>
          <w:sz w:val="24"/>
          <w:szCs w:val="24"/>
          <w:lang w:val="lv-LV"/>
        </w:rPr>
        <w:t>pārbaudēm</w:t>
      </w:r>
    </w:p>
    <w:p w14:paraId="1EDF3DE7" w14:textId="77777777" w:rsidR="008E75E6" w:rsidRPr="001B1D07" w:rsidRDefault="00F45475" w:rsidP="00907FEE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1B1D07">
        <w:rPr>
          <w:rFonts w:ascii="Times New Roman" w:hAnsi="Times New Roman" w:cs="Times New Roman"/>
          <w:sz w:val="24"/>
          <w:szCs w:val="24"/>
          <w:lang w:val="lv-LV"/>
        </w:rPr>
        <w:t>P</w:t>
      </w:r>
      <w:r w:rsidR="00776A94" w:rsidRPr="001B1D07">
        <w:rPr>
          <w:rFonts w:ascii="Times New Roman" w:hAnsi="Times New Roman" w:cs="Times New Roman"/>
          <w:sz w:val="24"/>
          <w:szCs w:val="24"/>
          <w:lang w:val="lv-LV"/>
        </w:rPr>
        <w:t>lānoto pārbaužu laikā</w:t>
      </w:r>
      <w:r w:rsidR="00BE77BE" w:rsidRPr="001B1D07">
        <w:rPr>
          <w:rFonts w:ascii="Times New Roman" w:hAnsi="Times New Roman" w:cs="Times New Roman"/>
          <w:sz w:val="24"/>
          <w:szCs w:val="24"/>
          <w:lang w:val="lv-LV"/>
        </w:rPr>
        <w:t xml:space="preserve"> tika pārbaudīta radiācijas drošības prasību izpilde, operatoram veicot darbības ar jonizējošā starojuma avotiem saskaņā ar </w:t>
      </w:r>
      <w:r w:rsidR="005920F6" w:rsidRPr="001B1D07">
        <w:rPr>
          <w:rFonts w:ascii="Times New Roman" w:hAnsi="Times New Roman" w:cs="Times New Roman"/>
          <w:sz w:val="24"/>
          <w:szCs w:val="24"/>
          <w:lang w:val="lv-LV"/>
        </w:rPr>
        <w:t>VVD RDC</w:t>
      </w:r>
      <w:r w:rsidR="00BE77BE" w:rsidRPr="001B1D07">
        <w:rPr>
          <w:rFonts w:ascii="Times New Roman" w:hAnsi="Times New Roman" w:cs="Times New Roman"/>
          <w:sz w:val="24"/>
          <w:szCs w:val="24"/>
          <w:lang w:val="lv-LV"/>
        </w:rPr>
        <w:t xml:space="preserve"> izsniegto reģistrācijas apliecību vai licenci</w:t>
      </w:r>
      <w:r w:rsidR="00762F1F" w:rsidRPr="001B1D07">
        <w:rPr>
          <w:rFonts w:ascii="Times New Roman" w:hAnsi="Times New Roman" w:cs="Times New Roman"/>
          <w:sz w:val="24"/>
          <w:szCs w:val="24"/>
          <w:lang w:val="lv-LV"/>
        </w:rPr>
        <w:t xml:space="preserve">. </w:t>
      </w:r>
    </w:p>
    <w:p w14:paraId="130D595D" w14:textId="3D940F7D" w:rsidR="005D70A0" w:rsidRPr="00AE07BA" w:rsidRDefault="00CF3AE6" w:rsidP="00E745BB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AE07BA">
        <w:rPr>
          <w:rFonts w:ascii="Times New Roman" w:hAnsi="Times New Roman" w:cs="Times New Roman"/>
          <w:sz w:val="24"/>
          <w:szCs w:val="24"/>
          <w:lang w:val="lv-LV"/>
        </w:rPr>
        <w:t xml:space="preserve">VVD RDC </w:t>
      </w:r>
      <w:r w:rsidR="00AE07BA" w:rsidRPr="00AE07BA">
        <w:rPr>
          <w:rFonts w:ascii="Times New Roman" w:hAnsi="Times New Roman" w:cs="Times New Roman"/>
          <w:sz w:val="24"/>
          <w:szCs w:val="24"/>
          <w:lang w:val="lv-LV"/>
        </w:rPr>
        <w:t xml:space="preserve">ir </w:t>
      </w:r>
      <w:r w:rsidRPr="00AE07BA">
        <w:rPr>
          <w:rFonts w:ascii="Times New Roman" w:hAnsi="Times New Roman" w:cs="Times New Roman"/>
          <w:sz w:val="24"/>
          <w:szCs w:val="24"/>
          <w:lang w:val="lv-LV"/>
        </w:rPr>
        <w:t xml:space="preserve">izstrādāti kritēriji, pēc kuriem vērtē pārbaužu rezultātus attiecībā uz operatoru veikto darbību atbilstību radiācijas drošības prasībām. </w:t>
      </w:r>
      <w:r w:rsidR="005D70A0" w:rsidRPr="00AE07BA">
        <w:rPr>
          <w:rFonts w:ascii="Times New Roman" w:hAnsi="Times New Roman" w:cs="Times New Roman"/>
          <w:sz w:val="24"/>
          <w:szCs w:val="24"/>
          <w:lang w:val="lv-LV"/>
        </w:rPr>
        <w:t xml:space="preserve">Pārbaudes rezultātus </w:t>
      </w:r>
      <w:r w:rsidR="005920F6" w:rsidRPr="00AE07BA">
        <w:rPr>
          <w:rFonts w:ascii="Times New Roman" w:hAnsi="Times New Roman" w:cs="Times New Roman"/>
          <w:sz w:val="24"/>
          <w:szCs w:val="24"/>
          <w:lang w:val="lv-LV"/>
        </w:rPr>
        <w:t xml:space="preserve">novērtē </w:t>
      </w:r>
      <w:r w:rsidR="005D70A0" w:rsidRPr="00AE07BA">
        <w:rPr>
          <w:rFonts w:ascii="Times New Roman" w:hAnsi="Times New Roman" w:cs="Times New Roman"/>
          <w:sz w:val="24"/>
          <w:szCs w:val="24"/>
          <w:lang w:val="lv-LV"/>
        </w:rPr>
        <w:t>saskaņā ar kritērijiem:</w:t>
      </w:r>
    </w:p>
    <w:p w14:paraId="1B8F48AB" w14:textId="576C1D07" w:rsidR="00726ABE" w:rsidRPr="0038615E" w:rsidRDefault="006C3E71" w:rsidP="00E745BB">
      <w:pPr>
        <w:pStyle w:val="ListParagraph"/>
        <w:numPr>
          <w:ilvl w:val="0"/>
          <w:numId w:val="2"/>
        </w:numPr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lv-LV"/>
        </w:rPr>
      </w:pPr>
      <w:r w:rsidRPr="0038615E">
        <w:rPr>
          <w:rFonts w:ascii="Times New Roman" w:hAnsi="Times New Roman"/>
          <w:b/>
          <w:bCs/>
          <w:sz w:val="24"/>
          <w:szCs w:val="24"/>
          <w:lang w:val="lv-LV"/>
        </w:rPr>
        <w:lastRenderedPageBreak/>
        <w:t>Atbilst</w:t>
      </w:r>
      <w:r w:rsidRPr="0038615E">
        <w:rPr>
          <w:rFonts w:ascii="Times New Roman" w:hAnsi="Times New Roman"/>
          <w:sz w:val="24"/>
          <w:szCs w:val="24"/>
          <w:lang w:val="lv-LV"/>
        </w:rPr>
        <w:t xml:space="preserve"> - o</w:t>
      </w:r>
      <w:r w:rsidR="00726ABE" w:rsidRPr="0038615E">
        <w:rPr>
          <w:rFonts w:ascii="Times New Roman" w:hAnsi="Times New Roman"/>
          <w:sz w:val="24"/>
          <w:szCs w:val="24"/>
          <w:lang w:val="lv-LV"/>
        </w:rPr>
        <w:t>peratori, kuri pamatā atbilst tiesību aktos noteiktajiem nosacījumiem, bet ir nepieciešami atsevišķi uzlabojumi</w:t>
      </w:r>
      <w:r w:rsidRPr="0038615E">
        <w:rPr>
          <w:rFonts w:ascii="Times New Roman" w:hAnsi="Times New Roman"/>
          <w:sz w:val="24"/>
          <w:szCs w:val="24"/>
          <w:lang w:val="lv-LV"/>
        </w:rPr>
        <w:t>;</w:t>
      </w:r>
    </w:p>
    <w:p w14:paraId="69A268DC" w14:textId="627BC920" w:rsidR="006C3E71" w:rsidRPr="0038615E" w:rsidRDefault="006C3E71" w:rsidP="00E745BB">
      <w:pPr>
        <w:pStyle w:val="ListParagraph"/>
        <w:numPr>
          <w:ilvl w:val="0"/>
          <w:numId w:val="2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38615E">
        <w:rPr>
          <w:rFonts w:ascii="Times New Roman" w:hAnsi="Times New Roman"/>
          <w:b/>
          <w:bCs/>
          <w:sz w:val="24"/>
          <w:szCs w:val="24"/>
          <w:lang w:val="lv-LV"/>
        </w:rPr>
        <w:t>Neatbilst</w:t>
      </w:r>
      <w:r w:rsidRPr="0038615E">
        <w:rPr>
          <w:rFonts w:ascii="Times New Roman" w:hAnsi="Times New Roman"/>
          <w:sz w:val="24"/>
          <w:szCs w:val="24"/>
          <w:lang w:val="lv-LV"/>
        </w:rPr>
        <w:t xml:space="preserve"> - operatori, kuri neatbilst tiesību aktos noteiktajiem nosacījumiem</w:t>
      </w:r>
      <w:r w:rsidR="005D70A0" w:rsidRPr="0038615E">
        <w:rPr>
          <w:rFonts w:ascii="Times New Roman" w:hAnsi="Times New Roman"/>
          <w:sz w:val="24"/>
          <w:szCs w:val="24"/>
        </w:rPr>
        <w:t>.</w:t>
      </w:r>
    </w:p>
    <w:p w14:paraId="0A24758F" w14:textId="73D96631" w:rsidR="00CE15A3" w:rsidRPr="008C0971" w:rsidRDefault="00762417" w:rsidP="00223E2A">
      <w:pPr>
        <w:pStyle w:val="CommentText"/>
        <w:ind w:firstLine="72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8C0971">
        <w:rPr>
          <w:rFonts w:ascii="Times New Roman" w:hAnsi="Times New Roman" w:cs="Times New Roman"/>
          <w:sz w:val="24"/>
          <w:szCs w:val="24"/>
          <w:lang w:val="lv-LV"/>
        </w:rPr>
        <w:t>No 202</w:t>
      </w:r>
      <w:r w:rsidR="009B712E" w:rsidRPr="008C0971">
        <w:rPr>
          <w:rFonts w:ascii="Times New Roman" w:hAnsi="Times New Roman" w:cs="Times New Roman"/>
          <w:sz w:val="24"/>
          <w:szCs w:val="24"/>
          <w:lang w:val="lv-LV"/>
        </w:rPr>
        <w:t>2</w:t>
      </w:r>
      <w:r w:rsidRPr="008C0971">
        <w:rPr>
          <w:rFonts w:ascii="Times New Roman" w:hAnsi="Times New Roman" w:cs="Times New Roman"/>
          <w:sz w:val="24"/>
          <w:szCs w:val="24"/>
          <w:lang w:val="lv-LV"/>
        </w:rPr>
        <w:t xml:space="preserve">.gadā veiktajām pārbaudēm tika novērtēts, ka operatora darbība </w:t>
      </w:r>
      <w:r w:rsidR="0030100B" w:rsidRPr="008C0971">
        <w:rPr>
          <w:rFonts w:ascii="Times New Roman" w:hAnsi="Times New Roman" w:cs="Times New Roman"/>
          <w:sz w:val="24"/>
          <w:szCs w:val="24"/>
          <w:lang w:val="lv-LV"/>
        </w:rPr>
        <w:t>6</w:t>
      </w:r>
      <w:r w:rsidR="009A00BD">
        <w:rPr>
          <w:rFonts w:ascii="Times New Roman" w:hAnsi="Times New Roman" w:cs="Times New Roman"/>
          <w:sz w:val="24"/>
          <w:szCs w:val="24"/>
          <w:lang w:val="lv-LV"/>
        </w:rPr>
        <w:t>7</w:t>
      </w:r>
      <w:r w:rsidRPr="008C0971">
        <w:rPr>
          <w:rFonts w:ascii="Times New Roman" w:hAnsi="Times New Roman" w:cs="Times New Roman"/>
          <w:sz w:val="24"/>
          <w:szCs w:val="24"/>
          <w:lang w:val="lv-LV"/>
        </w:rPr>
        <w:t>% gadījumos atbilst radiācijas drošības prasībām</w:t>
      </w:r>
      <w:r w:rsidR="00223E2A" w:rsidRPr="008C0971">
        <w:rPr>
          <w:rFonts w:ascii="Times New Roman" w:hAnsi="Times New Roman" w:cs="Times New Roman"/>
          <w:sz w:val="24"/>
          <w:szCs w:val="24"/>
          <w:lang w:val="lv-LV"/>
        </w:rPr>
        <w:t xml:space="preserve">, bet </w:t>
      </w:r>
      <w:r w:rsidR="0030100B" w:rsidRPr="008C0971">
        <w:rPr>
          <w:rFonts w:ascii="Times New Roman" w:hAnsi="Times New Roman" w:cs="Times New Roman"/>
          <w:sz w:val="24"/>
          <w:szCs w:val="24"/>
          <w:lang w:val="lv-LV"/>
        </w:rPr>
        <w:t>3</w:t>
      </w:r>
      <w:r w:rsidR="009A00BD">
        <w:rPr>
          <w:rFonts w:ascii="Times New Roman" w:hAnsi="Times New Roman" w:cs="Times New Roman"/>
          <w:sz w:val="24"/>
          <w:szCs w:val="24"/>
          <w:lang w:val="lv-LV"/>
        </w:rPr>
        <w:t>3</w:t>
      </w:r>
      <w:r w:rsidR="00223E2A" w:rsidRPr="008C0971">
        <w:rPr>
          <w:rFonts w:ascii="Times New Roman" w:hAnsi="Times New Roman" w:cs="Times New Roman"/>
          <w:sz w:val="24"/>
          <w:szCs w:val="24"/>
          <w:lang w:val="lv-LV"/>
        </w:rPr>
        <w:t>% gadījumos tika konstatēta neatbilstība.</w:t>
      </w:r>
    </w:p>
    <w:p w14:paraId="26441164" w14:textId="54CA7512" w:rsidR="008C0971" w:rsidRPr="00102ABF" w:rsidRDefault="008C0971" w:rsidP="00223E2A">
      <w:pPr>
        <w:pStyle w:val="CommentText"/>
        <w:ind w:firstLine="72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102ABF">
        <w:rPr>
          <w:noProof/>
        </w:rPr>
        <w:drawing>
          <wp:inline distT="0" distB="0" distL="0" distR="0" wp14:anchorId="0A5682A5" wp14:editId="75BA3EBC">
            <wp:extent cx="4216400" cy="1949450"/>
            <wp:effectExtent l="0" t="0" r="12700" b="12700"/>
            <wp:docPr id="6" name="Chart 6">
              <a:extLst xmlns:a="http://schemas.openxmlformats.org/drawingml/2006/main">
                <a:ext uri="{FF2B5EF4-FFF2-40B4-BE49-F238E27FC236}">
                  <a16:creationId xmlns:a16="http://schemas.microsoft.com/office/drawing/2014/main" id="{9934406D-4F7A-B188-3806-FD6EB79CF5C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75FA111F" w14:textId="37B463F6" w:rsidR="00551ECC" w:rsidRPr="00102ABF" w:rsidRDefault="00551ECC" w:rsidP="00102ABF">
      <w:pPr>
        <w:pStyle w:val="CommentText"/>
        <w:ind w:firstLine="720"/>
        <w:jc w:val="center"/>
        <w:rPr>
          <w:rFonts w:ascii="Times New Roman" w:hAnsi="Times New Roman" w:cs="Times New Roman"/>
          <w:sz w:val="24"/>
          <w:szCs w:val="24"/>
          <w:lang w:val="lv-LV"/>
        </w:rPr>
      </w:pPr>
      <w:r w:rsidRPr="00102ABF">
        <w:rPr>
          <w:rFonts w:ascii="Times New Roman" w:hAnsi="Times New Roman" w:cs="Times New Roman"/>
          <w:sz w:val="24"/>
          <w:szCs w:val="24"/>
          <w:lang w:val="lv-LV"/>
        </w:rPr>
        <w:t>2.attēls</w:t>
      </w:r>
      <w:r w:rsidR="00102ABF" w:rsidRPr="00102ABF">
        <w:rPr>
          <w:rFonts w:ascii="Times New Roman" w:hAnsi="Times New Roman" w:cs="Times New Roman"/>
          <w:sz w:val="24"/>
          <w:szCs w:val="24"/>
          <w:lang w:val="lv-LV"/>
        </w:rPr>
        <w:t>. Inspekcijas pārbaudes rezultāts</w:t>
      </w:r>
    </w:p>
    <w:p w14:paraId="3847D8CA" w14:textId="4177DEBA" w:rsidR="00871E72" w:rsidRPr="009D7734" w:rsidRDefault="005D70A0" w:rsidP="00E745BB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9D7734">
        <w:rPr>
          <w:rFonts w:ascii="Times New Roman" w:hAnsi="Times New Roman" w:cs="Times New Roman"/>
          <w:sz w:val="24"/>
          <w:szCs w:val="24"/>
          <w:lang w:val="lv-LV"/>
        </w:rPr>
        <w:t xml:space="preserve">VVD RDC inspektori pārbaudes aktos norādīja veicamo rīcību (ar izpildes termiņiem) neatbilstību novēršanai. </w:t>
      </w:r>
      <w:r w:rsidR="00317BF4" w:rsidRPr="009D7734">
        <w:rPr>
          <w:rFonts w:ascii="Times New Roman" w:hAnsi="Times New Roman" w:cs="Times New Roman"/>
          <w:sz w:val="24"/>
          <w:szCs w:val="24"/>
          <w:lang w:val="lv-LV"/>
        </w:rPr>
        <w:t xml:space="preserve">Neatbilstības tika konstatētas attiecībā uz dažādām prasībām – attiecībā uz darbinieku apmācību, individuālo </w:t>
      </w:r>
      <w:proofErr w:type="spellStart"/>
      <w:r w:rsidR="00317BF4" w:rsidRPr="009D7734">
        <w:rPr>
          <w:rFonts w:ascii="Times New Roman" w:hAnsi="Times New Roman" w:cs="Times New Roman"/>
          <w:sz w:val="24"/>
          <w:szCs w:val="24"/>
          <w:lang w:val="lv-LV"/>
        </w:rPr>
        <w:t>dozimetriju</w:t>
      </w:r>
      <w:proofErr w:type="spellEnd"/>
      <w:r w:rsidR="00317BF4" w:rsidRPr="009D7734">
        <w:rPr>
          <w:rFonts w:ascii="Times New Roman" w:hAnsi="Times New Roman" w:cs="Times New Roman"/>
          <w:sz w:val="24"/>
          <w:szCs w:val="24"/>
          <w:lang w:val="lv-LV"/>
        </w:rPr>
        <w:t>, darbinieku un pacientu radiācijas aizsardzību</w:t>
      </w:r>
      <w:r w:rsidR="00575A70" w:rsidRPr="009D7734">
        <w:rPr>
          <w:rFonts w:ascii="Times New Roman" w:hAnsi="Times New Roman" w:cs="Times New Roman"/>
          <w:sz w:val="24"/>
          <w:szCs w:val="24"/>
          <w:lang w:val="lv-LV"/>
        </w:rPr>
        <w:t>,</w:t>
      </w:r>
      <w:r w:rsidR="006A7DE7" w:rsidRPr="009D7734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CE15A3" w:rsidRPr="009D7734">
        <w:rPr>
          <w:rFonts w:ascii="Times New Roman" w:hAnsi="Times New Roman" w:cs="Times New Roman"/>
          <w:sz w:val="24"/>
          <w:szCs w:val="24"/>
          <w:lang w:val="lv-LV"/>
        </w:rPr>
        <w:t xml:space="preserve">medicīnas </w:t>
      </w:r>
      <w:proofErr w:type="spellStart"/>
      <w:r w:rsidR="00CE15A3" w:rsidRPr="009D7734">
        <w:rPr>
          <w:rFonts w:ascii="Times New Roman" w:hAnsi="Times New Roman" w:cs="Times New Roman"/>
          <w:sz w:val="24"/>
          <w:szCs w:val="24"/>
          <w:lang w:val="lv-LV"/>
        </w:rPr>
        <w:t>radioloģisko</w:t>
      </w:r>
      <w:proofErr w:type="spellEnd"/>
      <w:r w:rsidR="00CE15A3" w:rsidRPr="009D7734">
        <w:rPr>
          <w:rFonts w:ascii="Times New Roman" w:hAnsi="Times New Roman" w:cs="Times New Roman"/>
          <w:sz w:val="24"/>
          <w:szCs w:val="24"/>
          <w:lang w:val="lv-LV"/>
        </w:rPr>
        <w:t xml:space="preserve"> iekārtu</w:t>
      </w:r>
      <w:r w:rsidR="006A7DE7" w:rsidRPr="009D7734">
        <w:rPr>
          <w:rFonts w:ascii="Times New Roman" w:hAnsi="Times New Roman" w:cs="Times New Roman"/>
          <w:sz w:val="24"/>
          <w:szCs w:val="24"/>
          <w:lang w:val="lv-LV"/>
        </w:rPr>
        <w:t xml:space="preserve"> tehnisko parametru neatbilstība prasībām</w:t>
      </w:r>
      <w:r w:rsidR="00E745BB" w:rsidRPr="009D7734">
        <w:rPr>
          <w:rFonts w:ascii="Times New Roman" w:hAnsi="Times New Roman" w:cs="Times New Roman"/>
          <w:sz w:val="24"/>
          <w:szCs w:val="24"/>
          <w:lang w:val="lv-LV"/>
        </w:rPr>
        <w:t>,</w:t>
      </w:r>
      <w:r w:rsidR="006A7DE7" w:rsidRPr="009D7734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CE15A3" w:rsidRPr="009D7734">
        <w:rPr>
          <w:rFonts w:ascii="Times New Roman" w:hAnsi="Times New Roman" w:cs="Times New Roman"/>
          <w:sz w:val="24"/>
          <w:szCs w:val="24"/>
          <w:lang w:val="lv-LV"/>
        </w:rPr>
        <w:t>u.c.</w:t>
      </w:r>
      <w:r w:rsidR="006A7DE7" w:rsidRPr="009D7734">
        <w:rPr>
          <w:rFonts w:ascii="Times New Roman" w:hAnsi="Times New Roman" w:cs="Times New Roman"/>
          <w:sz w:val="24"/>
          <w:szCs w:val="24"/>
          <w:lang w:val="lv-LV"/>
        </w:rPr>
        <w:t xml:space="preserve">). </w:t>
      </w:r>
    </w:p>
    <w:p w14:paraId="0E1EA591" w14:textId="22E785DC" w:rsidR="004560A9" w:rsidRPr="00222808" w:rsidRDefault="009333A2" w:rsidP="00E745BB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222808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Pārbaudes tika veiktas pie dažādu nozaru operatoriem. </w:t>
      </w:r>
      <w:r w:rsidR="00102ABF">
        <w:rPr>
          <w:rFonts w:ascii="Times New Roman" w:eastAsia="Calibri" w:hAnsi="Times New Roman" w:cs="Times New Roman"/>
          <w:sz w:val="24"/>
          <w:szCs w:val="24"/>
          <w:lang w:val="lv-LV"/>
        </w:rPr>
        <w:t>3</w:t>
      </w:r>
      <w:r w:rsidRPr="00222808">
        <w:rPr>
          <w:rFonts w:ascii="Times New Roman" w:eastAsia="Calibri" w:hAnsi="Times New Roman" w:cs="Times New Roman"/>
          <w:sz w:val="24"/>
          <w:szCs w:val="24"/>
          <w:lang w:val="lv-LV"/>
        </w:rPr>
        <w:t>.attēlā parādīts pārbaužu procentuālais sadalījums pa nozarēm.</w:t>
      </w:r>
    </w:p>
    <w:p w14:paraId="22378922" w14:textId="4AACDBD7" w:rsidR="00D504D1" w:rsidRPr="006943D4" w:rsidRDefault="009D7734" w:rsidP="00DA4DDB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val="lv-LV" w:eastAsia="lv-LV"/>
        </w:rPr>
      </w:pPr>
      <w:r>
        <w:rPr>
          <w:noProof/>
        </w:rPr>
        <w:drawing>
          <wp:inline distT="0" distB="0" distL="0" distR="0" wp14:anchorId="647AA5D0" wp14:editId="1BFF4590">
            <wp:extent cx="5225970" cy="2708476"/>
            <wp:effectExtent l="0" t="0" r="13335" b="15875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6D739941-DA00-B785-D490-D041D751984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740EF8FE" w14:textId="5640B65C" w:rsidR="00D36CD7" w:rsidRPr="0084250A" w:rsidRDefault="00102ABF" w:rsidP="00AF6BE2">
      <w:pPr>
        <w:ind w:right="-766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3</w:t>
      </w:r>
      <w:r w:rsidR="004560A9" w:rsidRPr="0084250A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.attēls. </w:t>
      </w:r>
      <w:r w:rsidR="004560A9" w:rsidRPr="0084250A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 xml:space="preserve">Pārbaužu </w:t>
      </w:r>
      <w:r w:rsidR="00222808" w:rsidRPr="0084250A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skaits</w:t>
      </w:r>
      <w:r w:rsidR="0084250A" w:rsidRPr="0084250A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 xml:space="preserve"> pa nozarēm</w:t>
      </w:r>
      <w:r w:rsidR="004560A9" w:rsidRPr="0084250A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, 20</w:t>
      </w:r>
      <w:r w:rsidR="009B1787" w:rsidRPr="0084250A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2</w:t>
      </w:r>
      <w:r w:rsidR="00222808" w:rsidRPr="0084250A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2</w:t>
      </w:r>
      <w:r w:rsidR="004560A9" w:rsidRPr="0084250A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.</w:t>
      </w:r>
      <w:r w:rsidR="009B1787" w:rsidRPr="0084250A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 xml:space="preserve"> </w:t>
      </w:r>
      <w:r w:rsidR="004560A9" w:rsidRPr="0084250A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gads</w:t>
      </w:r>
    </w:p>
    <w:p w14:paraId="5324D0BE" w14:textId="77777777" w:rsidR="00C67894" w:rsidRPr="006943D4" w:rsidRDefault="00C67894" w:rsidP="00D36CD7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val="lv-LV"/>
        </w:rPr>
      </w:pPr>
    </w:p>
    <w:p w14:paraId="04D0C1F5" w14:textId="300F056E" w:rsidR="00D36CD7" w:rsidRPr="001A1BED" w:rsidRDefault="00102ABF" w:rsidP="00D36CD7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>
        <w:rPr>
          <w:rFonts w:ascii="Times New Roman" w:eastAsia="Calibri" w:hAnsi="Times New Roman" w:cs="Times New Roman"/>
          <w:sz w:val="24"/>
          <w:szCs w:val="24"/>
          <w:lang w:val="lv-LV"/>
        </w:rPr>
        <w:lastRenderedPageBreak/>
        <w:t>4</w:t>
      </w:r>
      <w:r w:rsidR="00D36CD7" w:rsidRPr="001A1BED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.attēlā parādīti pārbaužu radiācijas drošībā rezultāti, atšķirīgās krāsās atzīmējot operatorus, </w:t>
      </w:r>
      <w:r w:rsidR="00D36CD7" w:rsidRPr="001A1BED">
        <w:rPr>
          <w:rFonts w:ascii="Times New Roman" w:hAnsi="Times New Roman" w:cs="Times New Roman"/>
          <w:sz w:val="24"/>
          <w:szCs w:val="24"/>
          <w:lang w:val="lv-LV"/>
        </w:rPr>
        <w:t xml:space="preserve">kuri pamatā atbilst tiesību aktos noteiktajiem nosacījumiem, un operatorus, kuri neatbilst nosacījumiem. </w:t>
      </w:r>
    </w:p>
    <w:p w14:paraId="35C15856" w14:textId="05554951" w:rsidR="00235DFE" w:rsidRPr="006943D4" w:rsidRDefault="001A1BED" w:rsidP="00235DFE">
      <w:pPr>
        <w:rPr>
          <w:rFonts w:ascii="Times New Roman" w:eastAsia="Times New Roman" w:hAnsi="Times New Roman" w:cs="Times New Roman"/>
          <w:sz w:val="24"/>
          <w:szCs w:val="24"/>
          <w:highlight w:val="yellow"/>
          <w:lang w:val="lv-LV" w:eastAsia="lv-LV"/>
        </w:rPr>
      </w:pPr>
      <w:r>
        <w:rPr>
          <w:noProof/>
        </w:rPr>
        <w:drawing>
          <wp:inline distT="0" distB="0" distL="0" distR="0" wp14:anchorId="33EA54B6" wp14:editId="33F51DCD">
            <wp:extent cx="5274310" cy="3536315"/>
            <wp:effectExtent l="0" t="0" r="2540" b="6985"/>
            <wp:docPr id="8" name="Chart 8">
              <a:extLst xmlns:a="http://schemas.openxmlformats.org/drawingml/2006/main">
                <a:ext uri="{FF2B5EF4-FFF2-40B4-BE49-F238E27FC236}">
                  <a16:creationId xmlns:a16="http://schemas.microsoft.com/office/drawing/2014/main" id="{B7B9A552-621B-30F8-5191-8693DA232D2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="00530E07" w:rsidRPr="006943D4">
        <w:rPr>
          <w:noProof/>
          <w:highlight w:val="yellow"/>
          <w:lang w:val="en-GB" w:eastAsia="en-GB"/>
        </w:rPr>
        <w:t xml:space="preserve"> </w:t>
      </w:r>
    </w:p>
    <w:p w14:paraId="0AD1745A" w14:textId="58E84671" w:rsidR="007A5B5C" w:rsidRPr="00347990" w:rsidRDefault="00102ABF" w:rsidP="00347990">
      <w:pPr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4</w:t>
      </w:r>
      <w:r w:rsidR="004560A9" w:rsidRPr="00347990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.attēls. </w:t>
      </w:r>
      <w:r w:rsidR="004560A9" w:rsidRPr="00347990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 xml:space="preserve">Pārbaužu skaits </w:t>
      </w:r>
      <w:r w:rsidR="00DE335A" w:rsidRPr="00347990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 xml:space="preserve">radiācijas drošībā </w:t>
      </w:r>
      <w:r w:rsidR="004560A9" w:rsidRPr="00347990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pa nozarēm un pēc pārbaužu at</w:t>
      </w:r>
      <w:r w:rsidR="00BB3EF4" w:rsidRPr="00347990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bilstības kritērijiem, 20</w:t>
      </w:r>
      <w:r w:rsidR="00C67894" w:rsidRPr="00347990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2</w:t>
      </w:r>
      <w:r w:rsidR="00347990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2</w:t>
      </w:r>
      <w:r w:rsidR="00BB3EF4" w:rsidRPr="00347990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.</w:t>
      </w:r>
      <w:r w:rsidR="00C67894" w:rsidRPr="00347990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 xml:space="preserve"> </w:t>
      </w:r>
      <w:r w:rsidR="00BB3EF4" w:rsidRPr="00347990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gads</w:t>
      </w:r>
    </w:p>
    <w:p w14:paraId="589B9ECB" w14:textId="5A13FA13" w:rsidR="00223E2A" w:rsidRPr="00102ABF" w:rsidRDefault="00223E2A" w:rsidP="004E2123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102ABF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Salīdzinot operatorus, kas neatbilst pārbaužu atbilstības kritērijiem, pa jomām konstatēts, ka pārbaudēs pie valsts nozīmes operatoriem vai augstas radioaktivitātes avotu operatoriem nevienā gadījumā nav konstatēta neatbilstība</w:t>
      </w:r>
      <w:r w:rsidR="00E14EB5" w:rsidRPr="00102ABF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(0%)</w:t>
      </w:r>
      <w:r w:rsidRPr="00102ABF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. </w:t>
      </w:r>
      <w:r w:rsidR="00E14EB5" w:rsidRPr="00102ABF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Citās jomās procentos izteikto neatbilstību skaits pret veiktajām inspekcijām ir sekojošs: </w:t>
      </w:r>
    </w:p>
    <w:p w14:paraId="4B6D9380" w14:textId="4EE1D352" w:rsidR="00104D04" w:rsidRPr="00E02FDA" w:rsidRDefault="00755486" w:rsidP="00102ABF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val="lv-LV" w:eastAsia="lv-LV"/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  <w14:prstDash w14:val="solid"/>
            <w14:bevel/>
          </w14:textOutline>
        </w:rPr>
      </w:pPr>
      <w:r>
        <w:rPr>
          <w:noProof/>
        </w:rPr>
        <w:drawing>
          <wp:inline distT="0" distB="0" distL="0" distR="0" wp14:anchorId="4874C54F" wp14:editId="47B334BF">
            <wp:extent cx="4826442" cy="2957885"/>
            <wp:effectExtent l="0" t="0" r="12700" b="13970"/>
            <wp:docPr id="9" name="Chart 9">
              <a:extLst xmlns:a="http://schemas.openxmlformats.org/drawingml/2006/main">
                <a:ext uri="{FF2B5EF4-FFF2-40B4-BE49-F238E27FC236}">
                  <a16:creationId xmlns:a16="http://schemas.microsoft.com/office/drawing/2014/main" id="{6947C9B4-0E73-0B91-C157-57644EF6218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4C00EED4" w14:textId="108AB6B5" w:rsidR="002D4DD4" w:rsidRPr="00755486" w:rsidRDefault="00102ABF" w:rsidP="00755486">
      <w:pPr>
        <w:jc w:val="center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5</w:t>
      </w:r>
      <w:r w:rsidR="007E5689" w:rsidRPr="00755486">
        <w:rPr>
          <w:rFonts w:ascii="Times New Roman" w:hAnsi="Times New Roman" w:cs="Times New Roman"/>
          <w:sz w:val="24"/>
          <w:szCs w:val="24"/>
          <w:lang w:val="lv-LV"/>
        </w:rPr>
        <w:t>.att</w:t>
      </w:r>
      <w:r>
        <w:rPr>
          <w:rFonts w:ascii="Times New Roman" w:hAnsi="Times New Roman" w:cs="Times New Roman"/>
          <w:sz w:val="24"/>
          <w:szCs w:val="24"/>
          <w:lang w:val="lv-LV"/>
        </w:rPr>
        <w:t>ēls</w:t>
      </w:r>
      <w:r w:rsidR="007E5689" w:rsidRPr="00755486">
        <w:rPr>
          <w:rFonts w:ascii="Times New Roman" w:hAnsi="Times New Roman" w:cs="Times New Roman"/>
          <w:sz w:val="24"/>
          <w:szCs w:val="24"/>
          <w:lang w:val="lv-LV"/>
        </w:rPr>
        <w:t xml:space="preserve">. </w:t>
      </w:r>
      <w:r w:rsidR="000A4F03" w:rsidRPr="00755486">
        <w:rPr>
          <w:rFonts w:ascii="Times New Roman" w:hAnsi="Times New Roman" w:cs="Times New Roman"/>
          <w:sz w:val="24"/>
          <w:szCs w:val="24"/>
          <w:lang w:val="lv-LV"/>
        </w:rPr>
        <w:t>Procentuāli konstatētās neatbilstības nozarē 202</w:t>
      </w:r>
      <w:r w:rsidR="00755486">
        <w:rPr>
          <w:rFonts w:ascii="Times New Roman" w:hAnsi="Times New Roman" w:cs="Times New Roman"/>
          <w:sz w:val="24"/>
          <w:szCs w:val="24"/>
          <w:lang w:val="lv-LV"/>
        </w:rPr>
        <w:t>2</w:t>
      </w:r>
      <w:r w:rsidR="000A4F03" w:rsidRPr="00755486">
        <w:rPr>
          <w:rFonts w:ascii="Times New Roman" w:hAnsi="Times New Roman" w:cs="Times New Roman"/>
          <w:sz w:val="24"/>
          <w:szCs w:val="24"/>
          <w:lang w:val="lv-LV"/>
        </w:rPr>
        <w:t>.gadā</w:t>
      </w:r>
    </w:p>
    <w:p w14:paraId="6DE98935" w14:textId="04CB19C6" w:rsidR="00C67894" w:rsidRPr="00E02FDA" w:rsidRDefault="00A4201B" w:rsidP="00FF3080">
      <w:pPr>
        <w:ind w:firstLine="72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E02FDA">
        <w:rPr>
          <w:rFonts w:ascii="Times New Roman" w:hAnsi="Times New Roman" w:cs="Times New Roman"/>
          <w:sz w:val="24"/>
          <w:szCs w:val="24"/>
          <w:lang w:val="lv-LV"/>
        </w:rPr>
        <w:lastRenderedPageBreak/>
        <w:t>Izvērtējot ārstniecības iestādēm izvirzītos kritērijus, kas</w:t>
      </w:r>
      <w:r w:rsidR="00B81696" w:rsidRPr="00E02FDA">
        <w:rPr>
          <w:rFonts w:ascii="Times New Roman" w:hAnsi="Times New Roman" w:cs="Times New Roman"/>
          <w:sz w:val="24"/>
          <w:szCs w:val="24"/>
          <w:lang w:val="lv-LV"/>
        </w:rPr>
        <w:t xml:space="preserve"> būtiski uzlabo </w:t>
      </w:r>
      <w:r w:rsidR="00695566" w:rsidRPr="00E02FDA">
        <w:rPr>
          <w:rFonts w:ascii="Times New Roman" w:hAnsi="Times New Roman" w:cs="Times New Roman"/>
          <w:sz w:val="24"/>
          <w:szCs w:val="24"/>
          <w:lang w:val="lv-LV"/>
        </w:rPr>
        <w:t>operatora</w:t>
      </w:r>
      <w:r w:rsidR="00B81696" w:rsidRPr="00E02FDA">
        <w:rPr>
          <w:rFonts w:ascii="Times New Roman" w:hAnsi="Times New Roman" w:cs="Times New Roman"/>
          <w:sz w:val="24"/>
          <w:szCs w:val="24"/>
          <w:lang w:val="lv-LV"/>
        </w:rPr>
        <w:t xml:space="preserve"> darba kultūru un ļauj </w:t>
      </w:r>
      <w:r w:rsidR="00695566" w:rsidRPr="00E02FDA">
        <w:rPr>
          <w:rFonts w:ascii="Times New Roman" w:hAnsi="Times New Roman" w:cs="Times New Roman"/>
          <w:sz w:val="24"/>
          <w:szCs w:val="24"/>
          <w:lang w:val="lv-LV"/>
        </w:rPr>
        <w:t>pilnveidot radiācijas drošības prasības</w:t>
      </w:r>
      <w:r w:rsidR="002E5FBF" w:rsidRPr="00E02FDA">
        <w:rPr>
          <w:rFonts w:ascii="Times New Roman" w:hAnsi="Times New Roman" w:cs="Times New Roman"/>
          <w:sz w:val="24"/>
          <w:szCs w:val="24"/>
          <w:lang w:val="lv-LV"/>
        </w:rPr>
        <w:t>,</w:t>
      </w:r>
      <w:r w:rsidR="00695566" w:rsidRPr="00E02FDA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2E5FBF" w:rsidRPr="00E02FDA">
        <w:rPr>
          <w:rFonts w:ascii="Times New Roman" w:hAnsi="Times New Roman" w:cs="Times New Roman"/>
          <w:sz w:val="24"/>
          <w:szCs w:val="24"/>
          <w:lang w:val="lv-LV"/>
        </w:rPr>
        <w:t>k</w:t>
      </w:r>
      <w:r w:rsidR="00695566" w:rsidRPr="00E02FDA">
        <w:rPr>
          <w:rFonts w:ascii="Times New Roman" w:hAnsi="Times New Roman" w:cs="Times New Roman"/>
          <w:sz w:val="24"/>
          <w:szCs w:val="24"/>
          <w:lang w:val="lv-LV"/>
        </w:rPr>
        <w:t xml:space="preserve">ā piemēram </w:t>
      </w:r>
      <w:r w:rsidR="000332D2" w:rsidRPr="00E02FDA">
        <w:rPr>
          <w:rFonts w:ascii="Times New Roman" w:hAnsi="Times New Roman" w:cs="Times New Roman"/>
          <w:sz w:val="24"/>
          <w:szCs w:val="24"/>
          <w:lang w:val="lv-LV"/>
        </w:rPr>
        <w:t>kompleksa</w:t>
      </w:r>
      <w:r w:rsidR="00461C07" w:rsidRPr="00E02FDA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0332D2" w:rsidRPr="00E02FDA">
        <w:rPr>
          <w:rFonts w:ascii="Times New Roman" w:hAnsi="Times New Roman" w:cs="Times New Roman"/>
          <w:sz w:val="24"/>
          <w:szCs w:val="24"/>
          <w:lang w:val="lv-LV"/>
        </w:rPr>
        <w:t>k</w:t>
      </w:r>
      <w:r w:rsidR="00695566" w:rsidRPr="00E02FDA">
        <w:rPr>
          <w:rFonts w:ascii="Times New Roman" w:hAnsi="Times New Roman" w:cs="Times New Roman"/>
          <w:sz w:val="24"/>
          <w:szCs w:val="24"/>
          <w:lang w:val="lv-LV"/>
        </w:rPr>
        <w:t>līniskā audita veikšana iestādē un ne</w:t>
      </w:r>
      <w:r w:rsidR="003B6F0F" w:rsidRPr="00E02FDA">
        <w:rPr>
          <w:rFonts w:ascii="Times New Roman" w:hAnsi="Times New Roman" w:cs="Times New Roman"/>
          <w:sz w:val="24"/>
          <w:szCs w:val="24"/>
          <w:lang w:val="lv-LV"/>
        </w:rPr>
        <w:t>paredzētās apstarošanas uzskaite un konstatēto gadījumu analīze</w:t>
      </w:r>
      <w:r w:rsidR="00BA73E5" w:rsidRPr="00E02FDA">
        <w:rPr>
          <w:rFonts w:ascii="Times New Roman" w:hAnsi="Times New Roman" w:cs="Times New Roman"/>
          <w:sz w:val="24"/>
          <w:szCs w:val="24"/>
          <w:lang w:val="lv-LV"/>
        </w:rPr>
        <w:t>,</w:t>
      </w:r>
      <w:r w:rsidR="00461C07" w:rsidRPr="00E02FDA">
        <w:rPr>
          <w:rFonts w:ascii="Times New Roman" w:hAnsi="Times New Roman" w:cs="Times New Roman"/>
          <w:sz w:val="24"/>
          <w:szCs w:val="24"/>
          <w:lang w:val="lv-LV"/>
        </w:rPr>
        <w:t xml:space="preserve"> ļauj secināt</w:t>
      </w:r>
      <w:r w:rsidR="001442CC" w:rsidRPr="00E02FDA">
        <w:rPr>
          <w:rFonts w:ascii="Times New Roman" w:hAnsi="Times New Roman" w:cs="Times New Roman"/>
          <w:sz w:val="24"/>
          <w:szCs w:val="24"/>
          <w:lang w:val="lv-LV"/>
        </w:rPr>
        <w:t xml:space="preserve">, ka operatoru </w:t>
      </w:r>
      <w:r w:rsidR="00113358">
        <w:rPr>
          <w:rFonts w:ascii="Times New Roman" w:hAnsi="Times New Roman" w:cs="Times New Roman"/>
          <w:sz w:val="24"/>
          <w:szCs w:val="24"/>
          <w:lang w:val="lv-LV"/>
        </w:rPr>
        <w:t>uzmanība</w:t>
      </w:r>
      <w:r w:rsidR="00113358" w:rsidRPr="00E02FDA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1442CC" w:rsidRPr="00E02FDA">
        <w:rPr>
          <w:rFonts w:ascii="Times New Roman" w:hAnsi="Times New Roman" w:cs="Times New Roman"/>
          <w:sz w:val="24"/>
          <w:szCs w:val="24"/>
          <w:lang w:val="lv-LV"/>
        </w:rPr>
        <w:t>minēto darbību ieviešana</w:t>
      </w:r>
      <w:r w:rsidR="00546CC6" w:rsidRPr="00E02FDA">
        <w:rPr>
          <w:rFonts w:ascii="Times New Roman" w:hAnsi="Times New Roman" w:cs="Times New Roman"/>
          <w:sz w:val="24"/>
          <w:szCs w:val="24"/>
          <w:lang w:val="lv-LV"/>
        </w:rPr>
        <w:t>i tiek pievērsta</w:t>
      </w:r>
      <w:r w:rsidR="00113358">
        <w:rPr>
          <w:rFonts w:ascii="Times New Roman" w:hAnsi="Times New Roman" w:cs="Times New Roman"/>
          <w:sz w:val="24"/>
          <w:szCs w:val="24"/>
          <w:lang w:val="lv-LV"/>
        </w:rPr>
        <w:t>,</w:t>
      </w:r>
      <w:r w:rsidR="00EA15F5" w:rsidRPr="00E02FDA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113358">
        <w:rPr>
          <w:rFonts w:ascii="Times New Roman" w:hAnsi="Times New Roman" w:cs="Times New Roman"/>
          <w:sz w:val="24"/>
          <w:szCs w:val="24"/>
          <w:lang w:val="lv-LV"/>
        </w:rPr>
        <w:t>rezultātā</w:t>
      </w:r>
      <w:r w:rsidR="00113358" w:rsidRPr="00E02FDA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EA15F5" w:rsidRPr="00E02FDA">
        <w:rPr>
          <w:rFonts w:ascii="Times New Roman" w:hAnsi="Times New Roman" w:cs="Times New Roman"/>
          <w:sz w:val="24"/>
          <w:szCs w:val="24"/>
          <w:lang w:val="lv-LV"/>
        </w:rPr>
        <w:t>veicinot radiācijas drošības kultūru</w:t>
      </w:r>
      <w:r w:rsidR="006C542A" w:rsidRPr="00E02FDA">
        <w:rPr>
          <w:rFonts w:ascii="Times New Roman" w:hAnsi="Times New Roman" w:cs="Times New Roman"/>
          <w:sz w:val="24"/>
          <w:szCs w:val="24"/>
          <w:lang w:val="lv-LV"/>
        </w:rPr>
        <w:t xml:space="preserve"> kontrolētajā teritorijā.</w:t>
      </w:r>
    </w:p>
    <w:p w14:paraId="0403E4FD" w14:textId="527E8AE8" w:rsidR="006C542A" w:rsidRDefault="00102ABF" w:rsidP="00E02FDA">
      <w:pPr>
        <w:jc w:val="center"/>
        <w:rPr>
          <w:noProof/>
          <w:highlight w:val="yellow"/>
        </w:rPr>
      </w:pPr>
      <w:r>
        <w:rPr>
          <w:noProof/>
        </w:rPr>
        <w:drawing>
          <wp:anchor distT="0" distB="0" distL="114300" distR="114300" simplePos="0" relativeHeight="251667968" behindDoc="0" locked="0" layoutInCell="1" allowOverlap="1" wp14:anchorId="775379E9" wp14:editId="5BA3CC2F">
            <wp:simplePos x="0" y="0"/>
            <wp:positionH relativeFrom="margin">
              <wp:align>right</wp:align>
            </wp:positionH>
            <wp:positionV relativeFrom="paragraph">
              <wp:posOffset>8890</wp:posOffset>
            </wp:positionV>
            <wp:extent cx="2407285" cy="1967230"/>
            <wp:effectExtent l="0" t="0" r="12065" b="13970"/>
            <wp:wrapNone/>
            <wp:docPr id="11" name="Chart 11">
              <a:extLst xmlns:a="http://schemas.openxmlformats.org/drawingml/2006/main">
                <a:ext uri="{FF2B5EF4-FFF2-40B4-BE49-F238E27FC236}">
                  <a16:creationId xmlns:a16="http://schemas.microsoft.com/office/drawing/2014/main" id="{DC0E5967-DD46-1D69-50B2-F57A4DE34F7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2FDA">
        <w:rPr>
          <w:noProof/>
        </w:rPr>
        <w:drawing>
          <wp:anchor distT="0" distB="0" distL="114300" distR="114300" simplePos="0" relativeHeight="251656704" behindDoc="0" locked="0" layoutInCell="1" allowOverlap="1" wp14:anchorId="198D3E1E" wp14:editId="0CA1A976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2679065" cy="1978660"/>
            <wp:effectExtent l="0" t="0" r="6985" b="2540"/>
            <wp:wrapSquare wrapText="bothSides"/>
            <wp:docPr id="10" name="Chart 10">
              <a:extLst xmlns:a="http://schemas.openxmlformats.org/drawingml/2006/main">
                <a:ext uri="{FF2B5EF4-FFF2-40B4-BE49-F238E27FC236}">
                  <a16:creationId xmlns:a16="http://schemas.microsoft.com/office/drawing/2014/main" id="{68BFEDDD-4CA3-14BC-BE41-992268F6967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300245" w14:textId="0B461ED8" w:rsidR="006B43EF" w:rsidRDefault="006B43EF" w:rsidP="003447BD">
      <w:pPr>
        <w:jc w:val="both"/>
        <w:rPr>
          <w:noProof/>
          <w:highlight w:val="yellow"/>
        </w:rPr>
      </w:pPr>
    </w:p>
    <w:p w14:paraId="7196990B" w14:textId="39A6E4ED" w:rsidR="006B43EF" w:rsidRDefault="006B43EF" w:rsidP="00E02FDA">
      <w:pPr>
        <w:jc w:val="center"/>
        <w:rPr>
          <w:noProof/>
          <w:highlight w:val="yellow"/>
        </w:rPr>
      </w:pPr>
    </w:p>
    <w:p w14:paraId="00CB196B" w14:textId="7EA86138" w:rsidR="0048397F" w:rsidRPr="0048397F" w:rsidRDefault="006B43EF" w:rsidP="00E02FDA">
      <w:pPr>
        <w:jc w:val="center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noProof/>
          <w:highlight w:val="yellow"/>
        </w:rPr>
        <w:br w:type="textWrapping" w:clear="all"/>
      </w:r>
      <w:r w:rsidR="0048397F" w:rsidRPr="00E02FDA">
        <w:rPr>
          <w:rFonts w:ascii="Times New Roman" w:hAnsi="Times New Roman" w:cs="Times New Roman"/>
          <w:sz w:val="24"/>
          <w:szCs w:val="24"/>
          <w:lang w:val="lv-LV"/>
        </w:rPr>
        <w:t>4.att</w:t>
      </w:r>
      <w:r w:rsidR="00102ABF">
        <w:rPr>
          <w:rFonts w:ascii="Times New Roman" w:hAnsi="Times New Roman" w:cs="Times New Roman"/>
          <w:sz w:val="24"/>
          <w:szCs w:val="24"/>
          <w:lang w:val="lv-LV"/>
        </w:rPr>
        <w:t>ēls</w:t>
      </w:r>
      <w:r w:rsidR="0048397F" w:rsidRPr="00E02FDA">
        <w:rPr>
          <w:rFonts w:ascii="Times New Roman" w:hAnsi="Times New Roman" w:cs="Times New Roman"/>
          <w:sz w:val="24"/>
          <w:szCs w:val="24"/>
          <w:lang w:val="lv-LV"/>
        </w:rPr>
        <w:t xml:space="preserve">. </w:t>
      </w:r>
      <w:r w:rsidR="0080717F" w:rsidRPr="00E02FDA">
        <w:rPr>
          <w:rFonts w:ascii="Times New Roman" w:hAnsi="Times New Roman" w:cs="Times New Roman"/>
          <w:sz w:val="24"/>
          <w:szCs w:val="24"/>
          <w:lang w:val="lv-LV"/>
        </w:rPr>
        <w:t>Klīniskā audita ieviešana un neparedzētās apstarošanas</w:t>
      </w:r>
      <w:r w:rsidR="00D523FC" w:rsidRPr="00E02FDA">
        <w:rPr>
          <w:rFonts w:ascii="Times New Roman" w:hAnsi="Times New Roman" w:cs="Times New Roman"/>
          <w:sz w:val="24"/>
          <w:szCs w:val="24"/>
          <w:lang w:val="lv-LV"/>
        </w:rPr>
        <w:t xml:space="preserve"> uzskaite un analīze medicīnas nozaru operatoriem atbilstoši 202</w:t>
      </w:r>
      <w:r w:rsidR="00E02FDA" w:rsidRPr="00E02FDA">
        <w:rPr>
          <w:rFonts w:ascii="Times New Roman" w:hAnsi="Times New Roman" w:cs="Times New Roman"/>
          <w:sz w:val="24"/>
          <w:szCs w:val="24"/>
          <w:lang w:val="lv-LV"/>
        </w:rPr>
        <w:t>2</w:t>
      </w:r>
      <w:r w:rsidR="00D523FC" w:rsidRPr="00E02FDA">
        <w:rPr>
          <w:rFonts w:ascii="Times New Roman" w:hAnsi="Times New Roman" w:cs="Times New Roman"/>
          <w:sz w:val="24"/>
          <w:szCs w:val="24"/>
          <w:lang w:val="lv-LV"/>
        </w:rPr>
        <w:t>.gadā veiktajām pārbaudēm</w:t>
      </w:r>
    </w:p>
    <w:sectPr w:rsidR="0048397F" w:rsidRPr="0048397F" w:rsidSect="0031075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CA7BC" w14:textId="77777777" w:rsidR="00CD76AC" w:rsidRDefault="00CD76AC" w:rsidP="005920F6">
      <w:pPr>
        <w:spacing w:after="0" w:line="240" w:lineRule="auto"/>
      </w:pPr>
      <w:r>
        <w:separator/>
      </w:r>
    </w:p>
  </w:endnote>
  <w:endnote w:type="continuationSeparator" w:id="0">
    <w:p w14:paraId="16FBCD6E" w14:textId="77777777" w:rsidR="00CD76AC" w:rsidRDefault="00CD76AC" w:rsidP="00592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C643A" w14:textId="77777777" w:rsidR="00CD76AC" w:rsidRDefault="00CD76AC" w:rsidP="005920F6">
      <w:pPr>
        <w:spacing w:after="0" w:line="240" w:lineRule="auto"/>
      </w:pPr>
      <w:r>
        <w:separator/>
      </w:r>
    </w:p>
  </w:footnote>
  <w:footnote w:type="continuationSeparator" w:id="0">
    <w:p w14:paraId="339EADD8" w14:textId="77777777" w:rsidR="00CD76AC" w:rsidRDefault="00CD76AC" w:rsidP="005920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B718D1"/>
    <w:multiLevelType w:val="hybridMultilevel"/>
    <w:tmpl w:val="9BC2DED6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8F145A"/>
    <w:multiLevelType w:val="hybridMultilevel"/>
    <w:tmpl w:val="D60067B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C7B00A7"/>
    <w:multiLevelType w:val="hybridMultilevel"/>
    <w:tmpl w:val="833E7ABC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581297">
    <w:abstractNumId w:val="0"/>
  </w:num>
  <w:num w:numId="2" w16cid:durableId="1401901567">
    <w:abstractNumId w:val="2"/>
  </w:num>
  <w:num w:numId="3" w16cid:durableId="20166402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86B"/>
    <w:rsid w:val="000110F2"/>
    <w:rsid w:val="000111D6"/>
    <w:rsid w:val="00015763"/>
    <w:rsid w:val="000332D2"/>
    <w:rsid w:val="00034FAA"/>
    <w:rsid w:val="0005555E"/>
    <w:rsid w:val="000646E2"/>
    <w:rsid w:val="00074FC9"/>
    <w:rsid w:val="000A4F03"/>
    <w:rsid w:val="000B58DB"/>
    <w:rsid w:val="000B6EB5"/>
    <w:rsid w:val="000C2F58"/>
    <w:rsid w:val="000E32C4"/>
    <w:rsid w:val="000F21AE"/>
    <w:rsid w:val="000F3944"/>
    <w:rsid w:val="00102ABF"/>
    <w:rsid w:val="00104D04"/>
    <w:rsid w:val="00105DE8"/>
    <w:rsid w:val="00113358"/>
    <w:rsid w:val="00122046"/>
    <w:rsid w:val="001442CC"/>
    <w:rsid w:val="0016474E"/>
    <w:rsid w:val="00176CE5"/>
    <w:rsid w:val="001A1BED"/>
    <w:rsid w:val="001B1D07"/>
    <w:rsid w:val="001B1F22"/>
    <w:rsid w:val="001C48B0"/>
    <w:rsid w:val="001D7C19"/>
    <w:rsid w:val="001E2B36"/>
    <w:rsid w:val="001F566F"/>
    <w:rsid w:val="001F6E4E"/>
    <w:rsid w:val="002031C0"/>
    <w:rsid w:val="00211C82"/>
    <w:rsid w:val="002153E9"/>
    <w:rsid w:val="00222808"/>
    <w:rsid w:val="00223BCA"/>
    <w:rsid w:val="00223C5F"/>
    <w:rsid w:val="00223E2A"/>
    <w:rsid w:val="00226CBF"/>
    <w:rsid w:val="002302C8"/>
    <w:rsid w:val="00235DFE"/>
    <w:rsid w:val="002514C2"/>
    <w:rsid w:val="002641D3"/>
    <w:rsid w:val="002656E9"/>
    <w:rsid w:val="0028555F"/>
    <w:rsid w:val="00287083"/>
    <w:rsid w:val="002A36C5"/>
    <w:rsid w:val="002B0870"/>
    <w:rsid w:val="002B4888"/>
    <w:rsid w:val="002C0A06"/>
    <w:rsid w:val="002D4DD4"/>
    <w:rsid w:val="002E5FBF"/>
    <w:rsid w:val="002E6CDA"/>
    <w:rsid w:val="002F020F"/>
    <w:rsid w:val="002F23B3"/>
    <w:rsid w:val="002F7E2C"/>
    <w:rsid w:val="0030100B"/>
    <w:rsid w:val="0031075A"/>
    <w:rsid w:val="00317BF4"/>
    <w:rsid w:val="00332543"/>
    <w:rsid w:val="00332A95"/>
    <w:rsid w:val="003432F6"/>
    <w:rsid w:val="003447BD"/>
    <w:rsid w:val="00347990"/>
    <w:rsid w:val="0038615E"/>
    <w:rsid w:val="00386FC6"/>
    <w:rsid w:val="003870E1"/>
    <w:rsid w:val="003B075E"/>
    <w:rsid w:val="003B6F0F"/>
    <w:rsid w:val="003C586B"/>
    <w:rsid w:val="00403F87"/>
    <w:rsid w:val="004123FE"/>
    <w:rsid w:val="004176C8"/>
    <w:rsid w:val="00420C60"/>
    <w:rsid w:val="004560A9"/>
    <w:rsid w:val="00461C07"/>
    <w:rsid w:val="00461C7E"/>
    <w:rsid w:val="00462900"/>
    <w:rsid w:val="0048397F"/>
    <w:rsid w:val="004B4ED4"/>
    <w:rsid w:val="004B5368"/>
    <w:rsid w:val="004E0C6F"/>
    <w:rsid w:val="004E2123"/>
    <w:rsid w:val="004F312E"/>
    <w:rsid w:val="004F5EFD"/>
    <w:rsid w:val="00500066"/>
    <w:rsid w:val="005158D1"/>
    <w:rsid w:val="00517C1C"/>
    <w:rsid w:val="00521B14"/>
    <w:rsid w:val="00530E07"/>
    <w:rsid w:val="005344FA"/>
    <w:rsid w:val="005363D4"/>
    <w:rsid w:val="00540937"/>
    <w:rsid w:val="00546CC6"/>
    <w:rsid w:val="00551ECC"/>
    <w:rsid w:val="00553872"/>
    <w:rsid w:val="0055702F"/>
    <w:rsid w:val="00570A50"/>
    <w:rsid w:val="00575A70"/>
    <w:rsid w:val="0057616D"/>
    <w:rsid w:val="00580049"/>
    <w:rsid w:val="005920F6"/>
    <w:rsid w:val="005C26CC"/>
    <w:rsid w:val="005C336C"/>
    <w:rsid w:val="005D2DA2"/>
    <w:rsid w:val="005D6AF6"/>
    <w:rsid w:val="005D70A0"/>
    <w:rsid w:val="005E1D43"/>
    <w:rsid w:val="005E28D0"/>
    <w:rsid w:val="005E7614"/>
    <w:rsid w:val="005F0A0A"/>
    <w:rsid w:val="005F5E71"/>
    <w:rsid w:val="0062009F"/>
    <w:rsid w:val="00640E0C"/>
    <w:rsid w:val="006620EF"/>
    <w:rsid w:val="006943D4"/>
    <w:rsid w:val="00695566"/>
    <w:rsid w:val="00696007"/>
    <w:rsid w:val="006A050C"/>
    <w:rsid w:val="006A7DE7"/>
    <w:rsid w:val="006B43EF"/>
    <w:rsid w:val="006C3E71"/>
    <w:rsid w:val="006C473B"/>
    <w:rsid w:val="006C542A"/>
    <w:rsid w:val="006D785C"/>
    <w:rsid w:val="006E6A9C"/>
    <w:rsid w:val="006F3B57"/>
    <w:rsid w:val="0070571A"/>
    <w:rsid w:val="00723EB0"/>
    <w:rsid w:val="00724F93"/>
    <w:rsid w:val="00726ABE"/>
    <w:rsid w:val="00751F30"/>
    <w:rsid w:val="00755486"/>
    <w:rsid w:val="00762417"/>
    <w:rsid w:val="00762F1F"/>
    <w:rsid w:val="00775A35"/>
    <w:rsid w:val="00776A94"/>
    <w:rsid w:val="00780C8E"/>
    <w:rsid w:val="007A5B5C"/>
    <w:rsid w:val="007D1D3B"/>
    <w:rsid w:val="007E5689"/>
    <w:rsid w:val="007F1316"/>
    <w:rsid w:val="007F7C03"/>
    <w:rsid w:val="0080717F"/>
    <w:rsid w:val="008104EC"/>
    <w:rsid w:val="00820616"/>
    <w:rsid w:val="008230C8"/>
    <w:rsid w:val="008246CF"/>
    <w:rsid w:val="0084250A"/>
    <w:rsid w:val="00871E72"/>
    <w:rsid w:val="00893332"/>
    <w:rsid w:val="008C0691"/>
    <w:rsid w:val="008C0971"/>
    <w:rsid w:val="008E07BF"/>
    <w:rsid w:val="008E75E6"/>
    <w:rsid w:val="008E774E"/>
    <w:rsid w:val="008F3BC3"/>
    <w:rsid w:val="00906BFF"/>
    <w:rsid w:val="00907FEE"/>
    <w:rsid w:val="00925698"/>
    <w:rsid w:val="0093129C"/>
    <w:rsid w:val="00932C6E"/>
    <w:rsid w:val="009333A2"/>
    <w:rsid w:val="0093780D"/>
    <w:rsid w:val="00955C72"/>
    <w:rsid w:val="0097669C"/>
    <w:rsid w:val="0099571F"/>
    <w:rsid w:val="009A00BD"/>
    <w:rsid w:val="009B1787"/>
    <w:rsid w:val="009B712E"/>
    <w:rsid w:val="009C13B4"/>
    <w:rsid w:val="009C1D9D"/>
    <w:rsid w:val="009C49D7"/>
    <w:rsid w:val="009D10F9"/>
    <w:rsid w:val="009D7734"/>
    <w:rsid w:val="009F39CB"/>
    <w:rsid w:val="00A043C6"/>
    <w:rsid w:val="00A3437B"/>
    <w:rsid w:val="00A4201B"/>
    <w:rsid w:val="00A43AA2"/>
    <w:rsid w:val="00A73C3C"/>
    <w:rsid w:val="00A92DFB"/>
    <w:rsid w:val="00AE07BA"/>
    <w:rsid w:val="00AF1520"/>
    <w:rsid w:val="00AF6BE2"/>
    <w:rsid w:val="00B123BB"/>
    <w:rsid w:val="00B51280"/>
    <w:rsid w:val="00B5212F"/>
    <w:rsid w:val="00B55AF5"/>
    <w:rsid w:val="00B572D1"/>
    <w:rsid w:val="00B81696"/>
    <w:rsid w:val="00B94E7E"/>
    <w:rsid w:val="00BA3425"/>
    <w:rsid w:val="00BA73E5"/>
    <w:rsid w:val="00BB3EF4"/>
    <w:rsid w:val="00BC5234"/>
    <w:rsid w:val="00BD5597"/>
    <w:rsid w:val="00BE77BE"/>
    <w:rsid w:val="00BF2A9D"/>
    <w:rsid w:val="00C3412D"/>
    <w:rsid w:val="00C36FB1"/>
    <w:rsid w:val="00C40AC1"/>
    <w:rsid w:val="00C53058"/>
    <w:rsid w:val="00C61F01"/>
    <w:rsid w:val="00C67894"/>
    <w:rsid w:val="00C7241E"/>
    <w:rsid w:val="00C9444F"/>
    <w:rsid w:val="00CA4BCC"/>
    <w:rsid w:val="00CB1C54"/>
    <w:rsid w:val="00CB1EC1"/>
    <w:rsid w:val="00CC54E4"/>
    <w:rsid w:val="00CC6DFB"/>
    <w:rsid w:val="00CD76AC"/>
    <w:rsid w:val="00CE15A3"/>
    <w:rsid w:val="00CF3AE6"/>
    <w:rsid w:val="00D05084"/>
    <w:rsid w:val="00D15531"/>
    <w:rsid w:val="00D33BD3"/>
    <w:rsid w:val="00D36CD7"/>
    <w:rsid w:val="00D504D1"/>
    <w:rsid w:val="00D523FC"/>
    <w:rsid w:val="00D54B44"/>
    <w:rsid w:val="00D65AA5"/>
    <w:rsid w:val="00D92643"/>
    <w:rsid w:val="00DA23C8"/>
    <w:rsid w:val="00DA4DDB"/>
    <w:rsid w:val="00DB08D9"/>
    <w:rsid w:val="00DC6870"/>
    <w:rsid w:val="00DE153D"/>
    <w:rsid w:val="00DE335A"/>
    <w:rsid w:val="00DF2CB0"/>
    <w:rsid w:val="00E0104E"/>
    <w:rsid w:val="00E02FDA"/>
    <w:rsid w:val="00E1450C"/>
    <w:rsid w:val="00E14EB5"/>
    <w:rsid w:val="00E23A9C"/>
    <w:rsid w:val="00E427DC"/>
    <w:rsid w:val="00E53D05"/>
    <w:rsid w:val="00E745BB"/>
    <w:rsid w:val="00E97E05"/>
    <w:rsid w:val="00EA15F5"/>
    <w:rsid w:val="00EB4DA4"/>
    <w:rsid w:val="00EC7E3C"/>
    <w:rsid w:val="00ED1CA8"/>
    <w:rsid w:val="00EF5461"/>
    <w:rsid w:val="00EF7F69"/>
    <w:rsid w:val="00F365FD"/>
    <w:rsid w:val="00F37105"/>
    <w:rsid w:val="00F45475"/>
    <w:rsid w:val="00F52E10"/>
    <w:rsid w:val="00F84C15"/>
    <w:rsid w:val="00F930A3"/>
    <w:rsid w:val="00FA1866"/>
    <w:rsid w:val="00FA6007"/>
    <w:rsid w:val="00FB02AD"/>
    <w:rsid w:val="00FB096B"/>
    <w:rsid w:val="00FB13A8"/>
    <w:rsid w:val="00FB3ABB"/>
    <w:rsid w:val="00FD7D1C"/>
    <w:rsid w:val="00FE2C97"/>
    <w:rsid w:val="00FF3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F0D43"/>
  <w15:chartTrackingRefBased/>
  <w15:docId w15:val="{7ADA268D-6F0E-4FE3-9856-3FCC6F20A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58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6A9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3A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AE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920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20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20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20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20F6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920F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920F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920F6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456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styleId="Hyperlink">
    <w:name w:val="Hyperlink"/>
    <w:basedOn w:val="DefaultParagraphFont"/>
    <w:uiPriority w:val="99"/>
    <w:semiHidden/>
    <w:unhideWhenUsed/>
    <w:rsid w:val="009C13B4"/>
    <w:rPr>
      <w:color w:val="0000FF"/>
      <w:u w:val="single"/>
    </w:rPr>
  </w:style>
  <w:style w:type="paragraph" w:styleId="Revision">
    <w:name w:val="Revision"/>
    <w:hidden/>
    <w:uiPriority w:val="99"/>
    <w:semiHidden/>
    <w:rsid w:val="00A73C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vide-my.sharepoint.com/personal/linda_meistere_vvd_gov_lv/Documents/Darbvirsma/ID_2022_parbauzu_plans_DARBA%20LAPA_statsistika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https://vide-my.sharepoint.com/personal/linda_meistere_vvd_gov_lv/Documents/Darbvirsma/ID_2022_parbauzu_plans_DARBA%20LAPA_statsistika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https://vide-my.sharepoint.com/personal/linda_meistere_vvd_gov_lv/Documents/Darbvirsma/ID_2022_parbauzu_plans_DARBA%20LAPA_statsistika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https://vide-my.sharepoint.com/personal/linda_meistere_vvd_gov_lv/Documents/Darbvirsma/ID_2022_parbauzu_plans_DARBA%20LAPA_statsistika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https://vide-my.sharepoint.com/personal/linda_meistere_vvd_gov_lv/Documents/Darbvirsma/ID_2022_parbauzu_plans_DARBA%20LAPA_statsistika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https://vide-my.sharepoint.com/personal/linda_meistere_vvd_gov_lv/Documents/Darbvirsma/ID_2022_parbauzu_plans_DARBA%20LAPA_statsistika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https://vide-my.sharepoint.com/personal/linda_meistere_vvd_gov_lv/Documents/Darbvirsma/ID_2022_parbauzu_plans_DARBA%20LAPA_statsistika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lv-LV" sz="1200"/>
              <a:t>Inspektoru piesaiste inspekcijām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lv-LV"/>
        </a:p>
      </c:txPr>
    </c:title>
    <c:autoTitleDeleted val="0"/>
    <c:plotArea>
      <c:layout>
        <c:manualLayout>
          <c:layoutTarget val="inner"/>
          <c:xMode val="edge"/>
          <c:yMode val="edge"/>
          <c:x val="3.3033033033033031E-2"/>
          <c:y val="0.2809848484848485"/>
          <c:w val="0.93393393393393398"/>
          <c:h val="0.54327069911715586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FF0000"/>
            </a:solidFill>
            <a:ln w="9525" cap="flat" cmpd="sng" algn="ctr">
              <a:solidFill>
                <a:srgbClr val="FF0000"/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lv-L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INSP_2022!$N$281:$N$282</c:f>
              <c:strCache>
                <c:ptCount val="2"/>
                <c:pt idx="0">
                  <c:v>Veiktās inspekcijas</c:v>
                </c:pt>
                <c:pt idx="1">
                  <c:v>Divi un vairāk inspektori</c:v>
                </c:pt>
              </c:strCache>
            </c:strRef>
          </c:cat>
          <c:val>
            <c:numRef>
              <c:f>INSP_2022!$O$281:$O$282</c:f>
              <c:numCache>
                <c:formatCode>General</c:formatCode>
                <c:ptCount val="2"/>
                <c:pt idx="0">
                  <c:v>140</c:v>
                </c:pt>
                <c:pt idx="1">
                  <c:v>73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601-4759-9B0B-7DD9FB4FAACC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929085664"/>
        <c:axId val="929088576"/>
      </c:barChart>
      <c:catAx>
        <c:axId val="9290856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v-LV"/>
          </a:p>
        </c:txPr>
        <c:crossAx val="929088576"/>
        <c:crosses val="autoZero"/>
        <c:auto val="1"/>
        <c:lblAlgn val="ctr"/>
        <c:lblOffset val="100"/>
        <c:noMultiLvlLbl val="0"/>
      </c:catAx>
      <c:valAx>
        <c:axId val="929088576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9290856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lv-LV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lv-LV" sz="1400"/>
              <a:t>Inspekciju </a:t>
            </a:r>
            <a:r>
              <a:rPr lang="lv-LV" sz="1200"/>
              <a:t>rezultāts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lv-L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lv-L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(INSP_2022!$N$281,INSP_2022!$N$283:$N$284)</c:f>
              <c:strCache>
                <c:ptCount val="3"/>
                <c:pt idx="0">
                  <c:v>Veiktās inspekcijas</c:v>
                </c:pt>
                <c:pt idx="1">
                  <c:v>Inspekcijas kurās konstatētas neatbilstības</c:v>
                </c:pt>
                <c:pt idx="2">
                  <c:v>Inspekcijas kurās piedalās 2 un vairāk inspektori un konstatēta neatbilstība</c:v>
                </c:pt>
              </c:strCache>
              <c:extLst/>
            </c:strRef>
          </c:cat>
          <c:val>
            <c:numRef>
              <c:f>(INSP_2022!$O$281,INSP_2022!$O$283:$O$284)</c:f>
              <c:numCache>
                <c:formatCode>General</c:formatCode>
                <c:ptCount val="3"/>
                <c:pt idx="0">
                  <c:v>140</c:v>
                </c:pt>
                <c:pt idx="1">
                  <c:v>48</c:v>
                </c:pt>
                <c:pt idx="2">
                  <c:v>33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BD10-4E8B-B566-EF4AF37BD818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024083936"/>
        <c:axId val="1024081024"/>
      </c:barChart>
      <c:catAx>
        <c:axId val="10240839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v-LV"/>
          </a:p>
        </c:txPr>
        <c:crossAx val="1024081024"/>
        <c:crosses val="autoZero"/>
        <c:auto val="1"/>
        <c:lblAlgn val="ctr"/>
        <c:lblOffset val="100"/>
        <c:noMultiLvlLbl val="0"/>
      </c:catAx>
      <c:valAx>
        <c:axId val="1024081024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10240839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lv-LV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200" b="1" i="0" u="none" strike="noStrike" kern="1200" baseline="0">
                <a:solidFill>
                  <a:sysClr val="windowText" lastClr="000000">
                    <a:lumMod val="75000"/>
                    <a:lumOff val="2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lv-LV" sz="1200" b="1" i="0" cap="all" baseline="0">
                <a:effectLst/>
              </a:rPr>
              <a:t>PĀRBAUŽU SKAITS PA NOZARĒM, 2022.GADS</a:t>
            </a:r>
          </a:p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200">
                <a:solidFill>
                  <a:sysClr val="windowText" lastClr="000000">
                    <a:lumMod val="75000"/>
                    <a:lumOff val="25000"/>
                  </a:sysClr>
                </a:solidFill>
              </a:defRPr>
            </a:pPr>
            <a:endParaRPr lang="lv-LV" sz="1200" b="1"/>
          </a:p>
        </c:rich>
      </c:tx>
      <c:layout>
        <c:manualLayout>
          <c:xMode val="edge"/>
          <c:yMode val="edge"/>
          <c:x val="0.14589477451682176"/>
          <c:y val="1.036269430051813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200" b="1" i="0" u="none" strike="noStrike" kern="1200" baseline="0">
              <a:solidFill>
                <a:sysClr val="windowText" lastClr="000000">
                  <a:lumMod val="75000"/>
                  <a:lumOff val="25000"/>
                </a:sysClr>
              </a:solidFill>
              <a:latin typeface="+mn-lt"/>
              <a:ea typeface="+mn-ea"/>
              <a:cs typeface="+mn-cs"/>
            </a:defRPr>
          </a:pPr>
          <a:endParaRPr lang="lv-LV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3DF5-48C7-8574-B72589A1DCF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3DF5-48C7-8574-B72589A1DCF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3DF5-48C7-8574-B72589A1DCF4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3DF5-48C7-8574-B72589A1DCF4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3DF5-48C7-8574-B72589A1DCF4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3DF5-48C7-8574-B72589A1DCF4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3DF5-48C7-8574-B72589A1DCF4}"/>
              </c:ext>
            </c:extLst>
          </c:dPt>
          <c:dLbls>
            <c:dLbl>
              <c:idx val="0"/>
              <c:layout>
                <c:manualLayout>
                  <c:x val="0.29303306191839656"/>
                  <c:y val="-1.2826078087389326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000" b="0" i="0" u="none" strike="noStrike" kern="1200" baseline="0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57D9C10A-74DD-44F7-9677-2553B7164665}" type="CATEGORYNAME">
                      <a:rPr lang="en-US"/>
                      <a:pPr>
                        <a:defRPr b="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defRPr>
                      </a:pPr>
                      <a:t>[CATEGORY NAME]</a:t>
                    </a:fld>
                    <a:r>
                      <a:rPr lang="en-US" baseline="0"/>
                      <a:t> </a:t>
                    </a:r>
                    <a:fld id="{C22BD0D4-BE9D-4DE4-8128-B0DD74BB1C16}" type="PERCENTAGE">
                      <a:rPr lang="en-US" baseline="0"/>
                      <a:pPr>
                        <a:defRPr b="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defRPr>
                      </a:pPr>
                      <a:t>[PERCENTAGE]</a:t>
                    </a:fld>
                    <a:endParaRPr lang="en-US" baseline="0"/>
                  </a:p>
                </c:rich>
              </c:tx>
              <c:spPr>
                <a:noFill/>
                <a:ln>
                  <a:noFill/>
                </a:ln>
                <a:effectLst>
                  <a:softEdge rad="317500"/>
                </a:effectLst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tx1">
                          <a:lumMod val="85000"/>
                          <a:lumOff val="1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lv-LV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2964499821045096"/>
                      <c:h val="0.1171763697931541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3DF5-48C7-8574-B72589A1DCF4}"/>
                </c:ext>
              </c:extLst>
            </c:dLbl>
            <c:dLbl>
              <c:idx val="1"/>
              <c:layout>
                <c:manualLayout>
                  <c:x val="0.24153979509663565"/>
                  <c:y val="0.32843417241238626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000" b="0" i="0" u="none" strike="noStrike" kern="1200" baseline="0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9B0BC9AB-7374-4CDB-BA86-20503D992C79}" type="CATEGORYNAME">
                      <a:rPr lang="en-US" b="0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</a:rPr>
                      <a:pPr>
                        <a:defRPr b="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defRPr>
                      </a:pPr>
                      <a:t>[CATEGORY NAME]</a:t>
                    </a:fld>
                    <a:r>
                      <a:rPr lang="en-US" b="0" baseline="0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</a:rPr>
                      <a:t> </a:t>
                    </a:r>
                    <a:fld id="{588F38BA-8A8A-4009-8B10-6D6B46EF2B31}" type="PERCENTAGE">
                      <a:rPr lang="en-US" b="0" baseline="0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</a:rPr>
                      <a:pPr>
                        <a:defRPr b="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defRPr>
                      </a:pPr>
                      <a:t>[PERCENTAGE]</a:t>
                    </a:fld>
                    <a:endParaRPr lang="en-US" b="0" baseline="0">
                      <a:solidFill>
                        <a:schemeClr val="tx1">
                          <a:lumMod val="85000"/>
                          <a:lumOff val="15000"/>
                        </a:schemeClr>
                      </a:solidFill>
                    </a:endParaRPr>
                  </a:p>
                </c:rich>
              </c:tx>
              <c:spPr>
                <a:noFill/>
                <a:ln>
                  <a:noFill/>
                </a:ln>
                <a:effectLst>
                  <a:softEdge rad="317500"/>
                </a:effectLst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tx1">
                          <a:lumMod val="85000"/>
                          <a:lumOff val="1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lv-LV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9507381889763781"/>
                      <c:h val="0.3058292195340867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3DF5-48C7-8574-B72589A1DCF4}"/>
                </c:ext>
              </c:extLst>
            </c:dLbl>
            <c:dLbl>
              <c:idx val="2"/>
              <c:layout>
                <c:manualLayout>
                  <c:x val="0.10980370884037223"/>
                  <c:y val="6.1678022112520908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000" b="0" i="0" u="none" strike="noStrike" kern="1200" baseline="0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C5FD17ED-5F53-47F2-9155-5BA831052485}" type="CATEGORYNAME">
                      <a:rPr lang="en-US" b="0"/>
                      <a:pPr>
                        <a:defRPr b="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defRPr>
                      </a:pPr>
                      <a:t>[CATEGORY NAME]</a:t>
                    </a:fld>
                    <a:r>
                      <a:rPr lang="en-US" b="0" baseline="0"/>
                      <a:t> </a:t>
                    </a:r>
                    <a:fld id="{4143C76D-CC7E-432A-8A1A-C6083C87D54B}" type="PERCENTAGE">
                      <a:rPr lang="en-US" b="0" baseline="0"/>
                      <a:pPr>
                        <a:defRPr b="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defRPr>
                      </a:pPr>
                      <a:t>[PERCENTAGE]</a:t>
                    </a:fld>
                    <a:endParaRPr lang="en-US" b="0" baseline="0"/>
                  </a:p>
                </c:rich>
              </c:tx>
              <c:spPr>
                <a:noFill/>
                <a:ln>
                  <a:noFill/>
                </a:ln>
                <a:effectLst>
                  <a:softEdge rad="317500"/>
                </a:effectLst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tx1">
                          <a:lumMod val="85000"/>
                          <a:lumOff val="1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lv-LV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2580954724409447"/>
                      <c:h val="0.22704663212435233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3DF5-48C7-8574-B72589A1DCF4}"/>
                </c:ext>
              </c:extLst>
            </c:dLbl>
            <c:dLbl>
              <c:idx val="3"/>
              <c:layout>
                <c:manualLayout>
                  <c:x val="-0.10968638153185398"/>
                  <c:y val="-4.200767002570284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0">
                    <a:noAutofit/>
                  </a:bodyPr>
                  <a:lstStyle/>
                  <a:p>
                    <a:pPr algn="ctr">
                      <a:defRPr sz="1000" b="0" i="0" u="none" strike="noStrike" kern="1200" baseline="0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11BC5085-B3C7-4D4A-9B9A-D1D58E313F2E}" type="CATEGORYNAME">
                      <a:rPr lang="en-US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</a:rPr>
                      <a:pPr algn="ctr">
                        <a:defRPr b="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defRPr>
                      </a:pPr>
                      <a:t>[CATEGORY NAME]</a:t>
                    </a:fld>
                    <a:r>
                      <a:rPr lang="en-US" baseline="0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</a:rPr>
                      <a:t> </a:t>
                    </a:r>
                    <a:fld id="{AC70BEED-E5EF-40C1-94BD-AB88A48B101A}" type="PERCENTAGE">
                      <a:rPr lang="en-US" baseline="0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</a:rPr>
                      <a:pPr algn="ctr">
                        <a:defRPr b="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defRPr>
                      </a:pPr>
                      <a:t>[PERCENTAGE]</a:t>
                    </a:fld>
                    <a:endParaRPr lang="en-US" baseline="0">
                      <a:solidFill>
                        <a:schemeClr val="tx1">
                          <a:lumMod val="85000"/>
                          <a:lumOff val="15000"/>
                        </a:schemeClr>
                      </a:solidFill>
                    </a:endParaRPr>
                  </a:p>
                </c:rich>
              </c:tx>
              <c:spPr>
                <a:noFill/>
                <a:ln>
                  <a:noFill/>
                </a:ln>
                <a:effectLst>
                  <a:softEdge rad="317500"/>
                </a:effectLst>
              </c:spPr>
              <c:txPr>
                <a:bodyPr rot="0" spcFirstLastPara="1" vertOverflow="ellipsis" vert="horz" wrap="square" lIns="38100" tIns="19050" rIns="38100" bIns="19050" anchor="ctr" anchorCtr="0">
                  <a:noAutofit/>
                </a:bodyPr>
                <a:lstStyle/>
                <a:p>
                  <a:pPr algn="ctr">
                    <a:defRPr sz="1000" b="0" i="0" u="none" strike="noStrike" kern="1200" baseline="0">
                      <a:solidFill>
                        <a:schemeClr val="tx1">
                          <a:lumMod val="85000"/>
                          <a:lumOff val="1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lv-LV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2166181997136722"/>
                      <c:h val="0.39090653176125006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3DF5-48C7-8574-B72589A1DCF4}"/>
                </c:ext>
              </c:extLst>
            </c:dLbl>
            <c:dLbl>
              <c:idx val="4"/>
              <c:layout>
                <c:manualLayout>
                  <c:x val="-4.4597351467430206E-2"/>
                  <c:y val="-0.1319077149035127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000" b="0" i="0" u="none" strike="noStrike" kern="1200" baseline="0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42180098-DDDC-4A9E-B577-24561069F211}" type="CATEGORYNAME">
                      <a:rPr lang="en-US"/>
                      <a:pPr>
                        <a:defRPr b="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defRPr>
                      </a:pPr>
                      <a:t>[CATEGORY NAME]</a:t>
                    </a:fld>
                    <a:r>
                      <a:rPr lang="en-US" baseline="0"/>
                      <a:t> </a:t>
                    </a:r>
                    <a:fld id="{56CE791B-62CA-4563-87A9-57324D451C40}" type="PERCENTAGE">
                      <a:rPr lang="en-US" baseline="0"/>
                      <a:pPr>
                        <a:defRPr b="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defRPr>
                      </a:pPr>
                      <a:t>[PERCENTAGE]</a:t>
                    </a:fld>
                    <a:endParaRPr lang="en-US" baseline="0"/>
                  </a:p>
                </c:rich>
              </c:tx>
              <c:spPr>
                <a:noFill/>
                <a:ln>
                  <a:noFill/>
                </a:ln>
                <a:effectLst>
                  <a:softEdge rad="317500"/>
                </a:effectLst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tx1">
                          <a:lumMod val="85000"/>
                          <a:lumOff val="1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lv-LV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8365045633500358"/>
                      <c:h val="8.5025906735751292E-2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3DF5-48C7-8574-B72589A1DCF4}"/>
                </c:ext>
              </c:extLst>
            </c:dLbl>
            <c:dLbl>
              <c:idx val="5"/>
              <c:layout>
                <c:manualLayout>
                  <c:x val="-0.14366275948460988"/>
                  <c:y val="3.3695483660397325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000" b="0" i="0" u="none" strike="noStrike" kern="1200" baseline="0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106AFC44-4DFD-4410-9882-A7E125D47092}" type="CATEGORYNAME">
                      <a:rPr lang="en-US"/>
                      <a:pPr>
                        <a:defRPr b="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defRPr>
                      </a:pPr>
                      <a:t>[CATEGORY NAME]</a:t>
                    </a:fld>
                    <a:r>
                      <a:rPr lang="en-US" baseline="0"/>
                      <a:t> </a:t>
                    </a:r>
                    <a:fld id="{7AE1EADF-3F34-449D-BF28-0D522B6581EB}" type="PERCENTAGE">
                      <a:rPr lang="en-US" baseline="0"/>
                      <a:pPr>
                        <a:defRPr b="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defRPr>
                      </a:pPr>
                      <a:t>[PERCENTAGE]</a:t>
                    </a:fld>
                    <a:endParaRPr lang="en-US" baseline="0"/>
                  </a:p>
                </c:rich>
              </c:tx>
              <c:spPr>
                <a:noFill/>
                <a:ln>
                  <a:noFill/>
                </a:ln>
                <a:effectLst>
                  <a:softEdge rad="317500"/>
                </a:effectLst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tx1">
                          <a:lumMod val="85000"/>
                          <a:lumOff val="1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lv-LV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9838068181818184"/>
                      <c:h val="0.1016323283423769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B-3DF5-48C7-8574-B72589A1DCF4}"/>
                </c:ext>
              </c:extLst>
            </c:dLbl>
            <c:dLbl>
              <c:idx val="6"/>
              <c:layout>
                <c:manualLayout>
                  <c:x val="-1.7545297959914049E-2"/>
                  <c:y val="-6.3438456203337296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000" b="0" i="0" u="none" strike="noStrike" kern="1200" baseline="0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F7B96284-E521-4075-BA9D-8228854350E8}" type="CATEGORYNAME">
                      <a:rPr lang="en-US"/>
                      <a:pPr>
                        <a:defRPr b="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defRPr>
                      </a:pPr>
                      <a:t>[CATEGORY NAME]</a:t>
                    </a:fld>
                    <a:r>
                      <a:rPr lang="en-US" baseline="0"/>
                      <a:t> </a:t>
                    </a:r>
                    <a:fld id="{EC67BF80-B73A-48D6-B304-499A3CDDF13D}" type="PERCENTAGE">
                      <a:rPr lang="en-US" baseline="0"/>
                      <a:pPr>
                        <a:defRPr b="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defRPr>
                      </a:pPr>
                      <a:t>[PERCENTAGE]</a:t>
                    </a:fld>
                    <a:endParaRPr lang="en-US" baseline="0"/>
                  </a:p>
                </c:rich>
              </c:tx>
              <c:spPr>
                <a:noFill/>
                <a:ln>
                  <a:noFill/>
                </a:ln>
                <a:effectLst>
                  <a:softEdge rad="317500"/>
                </a:effectLst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tx1">
                          <a:lumMod val="85000"/>
                          <a:lumOff val="1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lv-LV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41265636184681448"/>
                      <c:h val="0.11199502264289503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D-3DF5-48C7-8574-B72589A1DCF4}"/>
                </c:ext>
              </c:extLst>
            </c:dLbl>
            <c:spPr>
              <a:noFill/>
              <a:ln>
                <a:noFill/>
              </a:ln>
              <a:effectLst>
                <a:softEdge rad="317500"/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85000"/>
                        <a:lumOff val="1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v-LV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INSP_2022!$G$282:$G$288</c:f>
              <c:strCache>
                <c:ptCount val="7"/>
                <c:pt idx="0">
                  <c:v>Iekārtu apkalpotāji</c:v>
                </c:pt>
                <c:pt idx="1">
                  <c:v>Rūpniecība, zinātne, bagāžas kontrole</c:v>
                </c:pt>
                <c:pt idx="2">
                  <c:v>Medicīna - rentgendiagnostikas iekārtas</c:v>
                </c:pt>
                <c:pt idx="3">
                  <c:v>Medicīna - lineārie paātrinātāji, kodolmedicīna, brahiterapija</c:v>
                </c:pt>
                <c:pt idx="4">
                  <c:v>Zobārstniecība</c:v>
                </c:pt>
                <c:pt idx="5">
                  <c:v>Veterinārmedicīna</c:v>
                </c:pt>
                <c:pt idx="6">
                  <c:v>Objekti, kas nav operatori</c:v>
                </c:pt>
              </c:strCache>
            </c:strRef>
          </c:cat>
          <c:val>
            <c:numRef>
              <c:f>INSP_2022!$H$282:$H$288</c:f>
              <c:numCache>
                <c:formatCode>General</c:formatCode>
                <c:ptCount val="7"/>
                <c:pt idx="0">
                  <c:v>4</c:v>
                </c:pt>
                <c:pt idx="1">
                  <c:v>12</c:v>
                </c:pt>
                <c:pt idx="2">
                  <c:v>59</c:v>
                </c:pt>
                <c:pt idx="3">
                  <c:v>8</c:v>
                </c:pt>
                <c:pt idx="4">
                  <c:v>43</c:v>
                </c:pt>
                <c:pt idx="5">
                  <c:v>12</c:v>
                </c:pt>
                <c:pt idx="6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3DF5-48C7-8574-B72589A1DCF4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lv-LV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 b="1" i="0" cap="all" baseline="0">
                <a:effectLst/>
              </a:rPr>
              <a:t>Pārbaužu skaits pa nozarēm un pēc pārbaužu atbilstības kritērijiem, 202</a:t>
            </a:r>
            <a:r>
              <a:rPr lang="lv-LV" sz="1200" b="1" i="0" cap="all" baseline="0">
                <a:effectLst/>
              </a:rPr>
              <a:t>2</a:t>
            </a:r>
            <a:r>
              <a:rPr lang="en-US" sz="1200" b="1" i="0" cap="all" baseline="0">
                <a:effectLst/>
              </a:rPr>
              <a:t>.gads</a:t>
            </a:r>
          </a:p>
        </c:rich>
      </c:tx>
      <c:layout>
        <c:manualLayout>
          <c:xMode val="edge"/>
          <c:yMode val="edge"/>
          <c:x val="0.11678642968934975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lv-LV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INSP_2022!$H$281</c:f>
              <c:strCache>
                <c:ptCount val="1"/>
                <c:pt idx="0">
                  <c:v>Pārbaudīti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lv-L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INSP_2022!$G$282:$G$288</c:f>
              <c:strCache>
                <c:ptCount val="7"/>
                <c:pt idx="0">
                  <c:v>Iekārtu apkalpotāji</c:v>
                </c:pt>
                <c:pt idx="1">
                  <c:v>Rūpniecība, zinātne, bagāžas kontrole</c:v>
                </c:pt>
                <c:pt idx="2">
                  <c:v>Medicīna - rentgendiagnostikas iekārtas</c:v>
                </c:pt>
                <c:pt idx="3">
                  <c:v>Medicīna - lineārie paātrinātāji, kodolmedicīna, brahiterapija</c:v>
                </c:pt>
                <c:pt idx="4">
                  <c:v>Zobārstniecība</c:v>
                </c:pt>
                <c:pt idx="5">
                  <c:v>Veterinārmedicīna</c:v>
                </c:pt>
                <c:pt idx="6">
                  <c:v>Objekti, kas nav operatori</c:v>
                </c:pt>
              </c:strCache>
            </c:strRef>
          </c:cat>
          <c:val>
            <c:numRef>
              <c:f>INSP_2022!$H$282:$H$288</c:f>
              <c:numCache>
                <c:formatCode>General</c:formatCode>
                <c:ptCount val="7"/>
                <c:pt idx="0">
                  <c:v>4</c:v>
                </c:pt>
                <c:pt idx="1">
                  <c:v>12</c:v>
                </c:pt>
                <c:pt idx="2">
                  <c:v>59</c:v>
                </c:pt>
                <c:pt idx="3">
                  <c:v>8</c:v>
                </c:pt>
                <c:pt idx="4">
                  <c:v>43</c:v>
                </c:pt>
                <c:pt idx="5">
                  <c:v>12</c:v>
                </c:pt>
                <c:pt idx="6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1CA-48F9-8F8B-31E7342FB78D}"/>
            </c:ext>
          </c:extLst>
        </c:ser>
        <c:ser>
          <c:idx val="1"/>
          <c:order val="1"/>
          <c:tx>
            <c:strRef>
              <c:f>INSP_2022!$I$281</c:f>
              <c:strCache>
                <c:ptCount val="1"/>
                <c:pt idx="0">
                  <c:v>Neatbilstības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lv-L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INSP_2022!$G$282:$G$288</c:f>
              <c:strCache>
                <c:ptCount val="7"/>
                <c:pt idx="0">
                  <c:v>Iekārtu apkalpotāji</c:v>
                </c:pt>
                <c:pt idx="1">
                  <c:v>Rūpniecība, zinātne, bagāžas kontrole</c:v>
                </c:pt>
                <c:pt idx="2">
                  <c:v>Medicīna - rentgendiagnostikas iekārtas</c:v>
                </c:pt>
                <c:pt idx="3">
                  <c:v>Medicīna - lineārie paātrinātāji, kodolmedicīna, brahiterapija</c:v>
                </c:pt>
                <c:pt idx="4">
                  <c:v>Zobārstniecība</c:v>
                </c:pt>
                <c:pt idx="5">
                  <c:v>Veterinārmedicīna</c:v>
                </c:pt>
                <c:pt idx="6">
                  <c:v>Objekti, kas nav operatori</c:v>
                </c:pt>
              </c:strCache>
            </c:strRef>
          </c:cat>
          <c:val>
            <c:numRef>
              <c:f>INSP_2022!$I$282:$I$288</c:f>
              <c:numCache>
                <c:formatCode>General</c:formatCode>
                <c:ptCount val="7"/>
                <c:pt idx="0">
                  <c:v>1</c:v>
                </c:pt>
                <c:pt idx="1">
                  <c:v>4</c:v>
                </c:pt>
                <c:pt idx="2">
                  <c:v>28</c:v>
                </c:pt>
                <c:pt idx="3">
                  <c:v>6</c:v>
                </c:pt>
                <c:pt idx="4">
                  <c:v>3</c:v>
                </c:pt>
                <c:pt idx="5">
                  <c:v>6</c:v>
                </c:pt>
                <c:pt idx="6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1CA-48F9-8F8B-31E7342FB78D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928068160"/>
        <c:axId val="928073152"/>
      </c:barChart>
      <c:catAx>
        <c:axId val="92806816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v-LV"/>
          </a:p>
        </c:txPr>
        <c:crossAx val="928073152"/>
        <c:crosses val="autoZero"/>
        <c:auto val="1"/>
        <c:lblAlgn val="ctr"/>
        <c:lblOffset val="100"/>
        <c:noMultiLvlLbl val="0"/>
      </c:catAx>
      <c:valAx>
        <c:axId val="928073152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v-LV"/>
          </a:p>
        </c:txPr>
        <c:crossAx val="9280681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lv-LV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lv-LV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200" b="1" i="0" u="none" strike="noStrike" kern="1200" baseline="0">
                <a:solidFill>
                  <a:sysClr val="windowText" lastClr="000000">
                    <a:lumMod val="75000"/>
                    <a:lumOff val="2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lv-LV" sz="1200" b="1" i="0" cap="all" baseline="0">
                <a:effectLst/>
              </a:rPr>
              <a:t>Procentuāli konstatētās neatbilstības nozarē 2022.gadā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200" b="1" i="0" u="none" strike="noStrike" kern="1200" baseline="0">
              <a:solidFill>
                <a:sysClr val="windowText" lastClr="000000">
                  <a:lumMod val="75000"/>
                  <a:lumOff val="25000"/>
                </a:sysClr>
              </a:solidFill>
              <a:latin typeface="+mn-lt"/>
              <a:ea typeface="+mn-ea"/>
              <a:cs typeface="+mn-cs"/>
            </a:defRPr>
          </a:pPr>
          <a:endParaRPr lang="lv-LV"/>
        </a:p>
      </c:txPr>
    </c:title>
    <c:autoTitleDeleted val="0"/>
    <c:plotArea>
      <c:layout>
        <c:manualLayout>
          <c:layoutTarget val="inner"/>
          <c:xMode val="edge"/>
          <c:yMode val="edge"/>
          <c:x val="0.2934066757858213"/>
          <c:y val="0.36096219647936684"/>
          <c:w val="0.32135236647068521"/>
          <c:h val="0.46582072528891999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D0B8-4FDB-A689-9DD0570040F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D0B8-4FDB-A689-9DD0570040F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D0B8-4FDB-A689-9DD0570040F1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D0B8-4FDB-A689-9DD0570040F1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D0B8-4FDB-A689-9DD0570040F1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D0B8-4FDB-A689-9DD0570040F1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D0B8-4FDB-A689-9DD0570040F1}"/>
              </c:ext>
            </c:extLst>
          </c:dPt>
          <c:dLbls>
            <c:dLbl>
              <c:idx val="0"/>
              <c:layout>
                <c:manualLayout>
                  <c:x val="0.31712641084805404"/>
                  <c:y val="-4.4145057784007367E-2"/>
                </c:manualLayout>
              </c:layout>
              <c:tx>
                <c:rich>
                  <a:bodyPr/>
                  <a:lstStyle/>
                  <a:p>
                    <a:fld id="{479F943C-3C80-4781-8E00-460BB4F84DB6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 </a:t>
                    </a:r>
                    <a:fld id="{402AF5FE-C684-409A-A384-A494A6994E67}" type="PERCENTAGE">
                      <a:rPr lang="en-US" baseline="0"/>
                      <a:pPr/>
                      <a:t>[PERCENTAGE]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5816286869751681"/>
                      <c:h val="9.5671902268760906E-2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D0B8-4FDB-A689-9DD0570040F1}"/>
                </c:ext>
              </c:extLst>
            </c:dLbl>
            <c:dLbl>
              <c:idx val="1"/>
              <c:layout>
                <c:manualLayout>
                  <c:x val="0.15399151737383657"/>
                  <c:y val="0.15401932088331891"/>
                </c:manualLayout>
              </c:layout>
              <c:tx>
                <c:rich>
                  <a:bodyPr/>
                  <a:lstStyle/>
                  <a:p>
                    <a:fld id="{69C2784C-4F61-4F09-83B2-9BE4BF47C30D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 </a:t>
                    </a:r>
                    <a:fld id="{72FB2C60-D05A-49A5-8B52-69F98AC3E2F4}" type="PERCENTAGE">
                      <a:rPr lang="en-US" baseline="0"/>
                      <a:pPr/>
                      <a:t>[PERCENTAGE]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6923919906110944"/>
                      <c:h val="0.18087260034904015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D0B8-4FDB-A689-9DD0570040F1}"/>
                </c:ext>
              </c:extLst>
            </c:dLbl>
            <c:dLbl>
              <c:idx val="2"/>
              <c:layout>
                <c:manualLayout>
                  <c:x val="0.17138880296539652"/>
                  <c:y val="-0.14577894527283011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000" b="0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4F2C8158-4FC8-4A0D-A646-3875D4C097AB}" type="CATEGORYNAME">
                      <a:rPr lang="en-US" sz="1000">
                        <a:solidFill>
                          <a:schemeClr val="tx1"/>
                        </a:solidFill>
                      </a:rPr>
                      <a:pPr>
                        <a:defRPr b="0">
                          <a:solidFill>
                            <a:schemeClr val="tx1"/>
                          </a:solidFill>
                        </a:defRPr>
                      </a:pPr>
                      <a:t>[CATEGORY NAME]</a:t>
                    </a:fld>
                    <a:r>
                      <a:rPr lang="en-US" sz="1000" baseline="0">
                        <a:solidFill>
                          <a:schemeClr val="tx1"/>
                        </a:solidFill>
                      </a:rPr>
                      <a:t> </a:t>
                    </a:r>
                    <a:fld id="{8BDED522-D51F-4A39-94BA-0D3BC882A4D1}" type="PERCENTAGE">
                      <a:rPr lang="en-US" sz="1000" baseline="0">
                        <a:solidFill>
                          <a:schemeClr val="tx1"/>
                        </a:solidFill>
                      </a:rPr>
                      <a:pPr>
                        <a:defRPr b="0">
                          <a:solidFill>
                            <a:schemeClr val="tx1"/>
                          </a:solidFill>
                        </a:defRPr>
                      </a:pPr>
                      <a:t>[PERCENTAGE]</a:t>
                    </a:fld>
                    <a:endParaRPr lang="en-US" sz="1000" baseline="0">
                      <a:solidFill>
                        <a:schemeClr val="tx1"/>
                      </a:solidFill>
                    </a:endParaRPr>
                  </a:p>
                </c:rich>
              </c:tx>
              <c:spPr>
                <a:noFill/>
                <a:ln>
                  <a:noFill/>
                </a:ln>
                <a:effectLst>
                  <a:softEdge rad="127000"/>
                </a:effectLst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lv-LV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9219146290924158"/>
                      <c:h val="0.2115422454975438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D0B8-4FDB-A689-9DD0570040F1}"/>
                </c:ext>
              </c:extLst>
            </c:dLbl>
            <c:dLbl>
              <c:idx val="3"/>
              <c:layout>
                <c:manualLayout>
                  <c:x val="1.2039489525644112E-2"/>
                  <c:y val="0.24203487653048605"/>
                </c:manualLayout>
              </c:layout>
              <c:tx>
                <c:rich>
                  <a:bodyPr/>
                  <a:lstStyle/>
                  <a:p>
                    <a:fld id="{414FB0A5-3DCC-44D6-8FBB-E50BF189BBDD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 </a:t>
                    </a:r>
                    <a:fld id="{1BE39C62-147E-4772-AEF8-1229F9FE6E3D}" type="PERCENTAGE">
                      <a:rPr lang="en-US" baseline="0"/>
                      <a:pPr/>
                      <a:t>[PERCENTAGE]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9036840837948469"/>
                      <c:h val="0.22347308680655756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D0B8-4FDB-A689-9DD0570040F1}"/>
                </c:ext>
              </c:extLst>
            </c:dLbl>
            <c:dLbl>
              <c:idx val="4"/>
              <c:layout>
                <c:manualLayout>
                  <c:x val="-8.1904461344156743E-2"/>
                  <c:y val="5.151258944999601E-2"/>
                </c:manualLayout>
              </c:layout>
              <c:tx>
                <c:rich>
                  <a:bodyPr/>
                  <a:lstStyle/>
                  <a:p>
                    <a:fld id="{7A3DB81D-5631-4300-8F1A-02A630AAE867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 </a:t>
                    </a:r>
                    <a:fld id="{4FF909F4-74AA-428E-B7E1-6D0737FEA0FA}" type="PERCENTAGE">
                      <a:rPr lang="en-US" baseline="0"/>
                      <a:pPr/>
                      <a:t>[PERCENTAGE]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1633749248716894"/>
                      <c:h val="9.5671902268760906E-2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D0B8-4FDB-A689-9DD0570040F1}"/>
                </c:ext>
              </c:extLst>
            </c:dLbl>
            <c:dLbl>
              <c:idx val="5"/>
              <c:layout>
                <c:manualLayout>
                  <c:x val="-8.2504536138376397E-2"/>
                  <c:y val="-3.1893748883483834E-2"/>
                </c:manualLayout>
              </c:layout>
              <c:tx>
                <c:rich>
                  <a:bodyPr/>
                  <a:lstStyle/>
                  <a:p>
                    <a:fld id="{89211B8E-5329-4061-BB7F-F8E57CA44262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 </a:t>
                    </a:r>
                    <a:fld id="{33B3537A-7255-4812-812D-08ED43FA345C}" type="PERCENTAGE">
                      <a:rPr lang="en-US" baseline="0"/>
                      <a:pPr/>
                      <a:t>[PERCENTAGE]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6816758969419691"/>
                      <c:h val="9.5671902268760906E-2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B-D0B8-4FDB-A689-9DD0570040F1}"/>
                </c:ext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D0B8-4FDB-A689-9DD0570040F1}"/>
                </c:ext>
              </c:extLst>
            </c:dLbl>
            <c:spPr>
              <a:noFill/>
              <a:ln>
                <a:noFill/>
              </a:ln>
              <a:effectLst>
                <a:softEdge rad="127000"/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lv-LV"/>
              </a:p>
            </c:txPr>
            <c:dLblPos val="ctr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INSP_2022!$G$282:$G$288</c:f>
              <c:strCache>
                <c:ptCount val="7"/>
                <c:pt idx="0">
                  <c:v>Iekārtu apkalpotāji</c:v>
                </c:pt>
                <c:pt idx="1">
                  <c:v>Rūpniecība, zinātne, bagāžas kontrole</c:v>
                </c:pt>
                <c:pt idx="2">
                  <c:v>Medicīna - rentgendiagnostikas iekārtas</c:v>
                </c:pt>
                <c:pt idx="3">
                  <c:v>Medicīna - lineārie paātrinātāji, kodolmedicīna, brahiterapija</c:v>
                </c:pt>
                <c:pt idx="4">
                  <c:v>Zobārstniecība</c:v>
                </c:pt>
                <c:pt idx="5">
                  <c:v>Veterinārmedicīna</c:v>
                </c:pt>
                <c:pt idx="6">
                  <c:v>Objekti, kas nav operatori</c:v>
                </c:pt>
              </c:strCache>
            </c:strRef>
          </c:cat>
          <c:val>
            <c:numRef>
              <c:f>INSP_2022!$I$282:$I$288</c:f>
              <c:numCache>
                <c:formatCode>General</c:formatCode>
                <c:ptCount val="7"/>
                <c:pt idx="0">
                  <c:v>1</c:v>
                </c:pt>
                <c:pt idx="1">
                  <c:v>4</c:v>
                </c:pt>
                <c:pt idx="2">
                  <c:v>28</c:v>
                </c:pt>
                <c:pt idx="3">
                  <c:v>6</c:v>
                </c:pt>
                <c:pt idx="4">
                  <c:v>3</c:v>
                </c:pt>
                <c:pt idx="5">
                  <c:v>6</c:v>
                </c:pt>
                <c:pt idx="6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D0B8-4FDB-A689-9DD0570040F1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lv-LV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/>
              <a:t>Neparedzētās apstarošanas uzskaite un analīze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lv-LV"/>
        </a:p>
      </c:txPr>
    </c:title>
    <c:autoTitleDeleted val="0"/>
    <c:plotArea>
      <c:layout>
        <c:manualLayout>
          <c:layoutTarget val="inner"/>
          <c:xMode val="edge"/>
          <c:yMode val="edge"/>
          <c:x val="0.13315463975585975"/>
          <c:y val="0.23843882006679445"/>
          <c:w val="0.54699215090859621"/>
          <c:h val="0.66935030474321766"/>
        </c:manualLayout>
      </c:layout>
      <c:pieChart>
        <c:varyColors val="1"/>
        <c:ser>
          <c:idx val="0"/>
          <c:order val="0"/>
          <c:tx>
            <c:strRef>
              <c:f>INSP_2022!$P$281</c:f>
              <c:strCache>
                <c:ptCount val="1"/>
                <c:pt idx="0">
                  <c:v>Neparedzētās apstarošanas uzskaite un analīze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3531-43B7-B269-7F29C753341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3531-43B7-B269-7F29C753341A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lv-LV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INSP_2022!$Q$280:$S$280</c:f>
              <c:strCache>
                <c:ptCount val="2"/>
                <c:pt idx="0">
                  <c:v>Ir</c:v>
                </c:pt>
                <c:pt idx="1">
                  <c:v>Nav </c:v>
                </c:pt>
              </c:strCache>
            </c:strRef>
          </c:cat>
          <c:val>
            <c:numRef>
              <c:f>INSP_2022!$Q$281:$S$281</c:f>
              <c:numCache>
                <c:formatCode>General</c:formatCode>
                <c:ptCount val="2"/>
                <c:pt idx="0">
                  <c:v>46</c:v>
                </c:pt>
                <c:pt idx="1">
                  <c:v>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3531-43B7-B269-7F29C753341A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4500473426516813"/>
          <c:y val="0.8275505399611307"/>
          <c:w val="0.31771178356840396"/>
          <c:h val="0.13011961291098154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lv-LV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lv-LV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lv-LV"/>
        </a:p>
      </c:txPr>
    </c:title>
    <c:autoTitleDeleted val="0"/>
    <c:plotArea>
      <c:layout>
        <c:manualLayout>
          <c:layoutTarget val="inner"/>
          <c:xMode val="edge"/>
          <c:yMode val="edge"/>
          <c:x val="0.10218528935918179"/>
          <c:y val="0.18435439724092259"/>
          <c:w val="0.57665383816602866"/>
          <c:h val="0.69597325093648021"/>
        </c:manualLayout>
      </c:layout>
      <c:pieChart>
        <c:varyColors val="1"/>
        <c:ser>
          <c:idx val="0"/>
          <c:order val="0"/>
          <c:tx>
            <c:strRef>
              <c:f>INSP_2022!$P$282</c:f>
              <c:strCache>
                <c:ptCount val="1"/>
                <c:pt idx="0">
                  <c:v>Klīniskais audits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BDD4-442C-AE30-24F3C49CC86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BDD4-442C-AE30-24F3C49CC864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lv-LV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INSP_2022!$Q$280:$S$280</c:f>
              <c:strCache>
                <c:ptCount val="2"/>
                <c:pt idx="0">
                  <c:v>Ir</c:v>
                </c:pt>
                <c:pt idx="1">
                  <c:v>Nav </c:v>
                </c:pt>
              </c:strCache>
            </c:strRef>
          </c:cat>
          <c:val>
            <c:numRef>
              <c:f>INSP_2022!$Q$282:$S$282</c:f>
              <c:numCache>
                <c:formatCode>General</c:formatCode>
                <c:ptCount val="2"/>
                <c:pt idx="0">
                  <c:v>51</c:v>
                </c:pt>
                <c:pt idx="1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BDD4-442C-AE30-24F3C49CC864}"/>
            </c:ext>
          </c:extLst>
        </c:ser>
        <c:ser>
          <c:idx val="1"/>
          <c:order val="1"/>
          <c:tx>
            <c:strRef>
              <c:f>INSP_2022!$Q$280</c:f>
              <c:strCache>
                <c:ptCount val="1"/>
                <c:pt idx="0">
                  <c:v>Ir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6-BDD4-442C-AE30-24F3C49CC864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lv-LV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INSP_2022!$Q$280:$S$280</c:f>
              <c:strCache>
                <c:ptCount val="2"/>
                <c:pt idx="0">
                  <c:v>Ir</c:v>
                </c:pt>
                <c:pt idx="1">
                  <c:v>Nav </c:v>
                </c:pt>
              </c:strCache>
            </c:strRef>
          </c:cat>
          <c:val>
            <c:numRef>
              <c:f>INSP_2022!$R$280:$S$280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BDD4-442C-AE30-24F3C49CC864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494718390420241"/>
          <c:y val="0.82368501984369125"/>
          <c:w val="0.29648819601617749"/>
          <c:h val="0.11906756684682122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rtl="0"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lv-L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lv-L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2965A-9CEC-41A6-926F-52402CDDC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2850</Words>
  <Characters>1625</Characters>
  <Application>Microsoft Office Word</Application>
  <DocSecurity>4</DocSecurity>
  <Lines>13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Marite Caikovska</dc:creator>
  <cp:keywords/>
  <dc:description/>
  <cp:lastModifiedBy>Linda Meistere</cp:lastModifiedBy>
  <cp:revision>2</cp:revision>
  <dcterms:created xsi:type="dcterms:W3CDTF">2023-02-02T09:08:00Z</dcterms:created>
  <dcterms:modified xsi:type="dcterms:W3CDTF">2023-02-02T09:08:00Z</dcterms:modified>
</cp:coreProperties>
</file>